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bookmarkStart w:id="0" w:name="_Hlk63613221"/>
    </w:p>
    <w:p>
      <w:pPr>
        <w:ind w:firstLine="480"/>
      </w:pPr>
    </w:p>
    <w:p>
      <w:pPr>
        <w:ind w:firstLine="480"/>
      </w:pPr>
    </w:p>
    <w:bookmarkEnd w:id="0"/>
    <w:p>
      <w:pPr>
        <w:ind w:firstLine="880"/>
        <w:jc w:val="center"/>
        <w:rPr>
          <w:rFonts w:ascii="方正黑体简体" w:eastAsia="方正黑体简体"/>
          <w:sz w:val="44"/>
          <w:szCs w:val="44"/>
        </w:rPr>
      </w:pPr>
      <w:bookmarkStart w:id="1" w:name="_Hlk159571966"/>
      <w:r>
        <w:rPr>
          <w:rFonts w:hint="eastAsia" w:ascii="方正黑体简体" w:eastAsia="方正黑体简体"/>
          <w:sz w:val="44"/>
          <w:szCs w:val="44"/>
        </w:rPr>
        <w:t>四川省地质矿产勘查开发局</w:t>
      </w:r>
    </w:p>
    <w:p>
      <w:pPr>
        <w:pStyle w:val="6"/>
        <w:ind w:firstLine="880"/>
        <w:jc w:val="center"/>
        <w:rPr>
          <w:rFonts w:ascii="方正黑体简体" w:eastAsia="方正黑体简体" w:hAnsiTheme="minorHAnsi"/>
          <w:sz w:val="44"/>
          <w:szCs w:val="44"/>
        </w:rPr>
      </w:pPr>
      <w:r>
        <w:rPr>
          <w:rFonts w:hint="eastAsia" w:ascii="方正黑体简体" w:eastAsia="方正黑体简体" w:hAnsiTheme="minorHAnsi"/>
          <w:sz w:val="44"/>
          <w:szCs w:val="44"/>
        </w:rPr>
        <w:t>2023年度财务决算审计项目</w:t>
      </w:r>
      <w:bookmarkEnd w:id="1"/>
    </w:p>
    <w:p>
      <w:pPr>
        <w:ind w:firstLine="480"/>
        <w:jc w:val="center"/>
      </w:pPr>
    </w:p>
    <w:p>
      <w:pPr>
        <w:ind w:firstLine="480"/>
        <w:jc w:val="center"/>
      </w:pPr>
    </w:p>
    <w:p>
      <w:pPr>
        <w:ind w:firstLine="1040"/>
        <w:jc w:val="center"/>
        <w:rPr>
          <w:rFonts w:ascii="方正黑体简体" w:eastAsia="方正黑体简体"/>
          <w:sz w:val="52"/>
          <w:szCs w:val="52"/>
        </w:rPr>
      </w:pPr>
      <w:r>
        <w:rPr>
          <w:rFonts w:hint="eastAsia" w:ascii="方正黑体简体" w:eastAsia="方正黑体简体"/>
          <w:sz w:val="52"/>
          <w:szCs w:val="52"/>
        </w:rPr>
        <w:t>比选文件</w:t>
      </w:r>
    </w:p>
    <w:p>
      <w:pPr>
        <w:ind w:firstLine="480"/>
      </w:pPr>
    </w:p>
    <w:p>
      <w:pPr>
        <w:ind w:firstLine="480"/>
      </w:pPr>
    </w:p>
    <w:p>
      <w:pPr>
        <w:pStyle w:val="6"/>
        <w:ind w:firstLine="560"/>
      </w:pPr>
    </w:p>
    <w:p>
      <w:pPr>
        <w:ind w:firstLine="480"/>
      </w:pPr>
    </w:p>
    <w:p>
      <w:pPr>
        <w:pStyle w:val="6"/>
        <w:ind w:firstLine="560"/>
      </w:pPr>
    </w:p>
    <w:p>
      <w:pPr>
        <w:ind w:firstLine="562"/>
        <w:jc w:val="center"/>
        <w:rPr>
          <w:b/>
          <w:bCs/>
          <w:sz w:val="28"/>
          <w:szCs w:val="24"/>
        </w:rPr>
      </w:pPr>
      <w:r>
        <w:rPr>
          <w:rFonts w:hint="eastAsia"/>
          <w:b/>
          <w:bCs/>
          <w:sz w:val="28"/>
          <w:szCs w:val="24"/>
        </w:rPr>
        <w:t>四川省地质矿产勘查开发局</w:t>
      </w:r>
    </w:p>
    <w:p>
      <w:pPr>
        <w:ind w:firstLine="482"/>
        <w:jc w:val="center"/>
        <w:rPr>
          <w:b/>
          <w:bCs/>
        </w:rPr>
      </w:pPr>
    </w:p>
    <w:p>
      <w:pPr>
        <w:ind w:firstLine="482"/>
        <w:jc w:val="center"/>
        <w:rPr>
          <w:b/>
          <w:bCs/>
        </w:rPr>
      </w:pPr>
      <w:r>
        <w:rPr>
          <w:rFonts w:hint="eastAsia"/>
          <w:b/>
          <w:bCs/>
        </w:rPr>
        <w:t>二〇二四年二月二十八日</w:t>
      </w:r>
    </w:p>
    <w:p>
      <w:pPr>
        <w:ind w:firstLine="480"/>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start="1"/>
          <w:cols w:space="425" w:num="1"/>
          <w:docGrid w:type="lines" w:linePitch="312" w:charSpace="0"/>
        </w:sectPr>
      </w:pPr>
    </w:p>
    <w:p>
      <w:pPr>
        <w:ind w:firstLine="480"/>
      </w:pPr>
    </w:p>
    <w:p>
      <w:pPr>
        <w:ind w:firstLine="482"/>
        <w:rPr>
          <w:b/>
        </w:rPr>
      </w:pPr>
      <w:r>
        <w:rPr>
          <w:rFonts w:hint="eastAsia"/>
          <w:b/>
        </w:rPr>
        <w:t>目  录</w:t>
      </w:r>
    </w:p>
    <w:p>
      <w:pPr>
        <w:pStyle w:val="24"/>
      </w:pPr>
    </w:p>
    <w:p>
      <w:pPr>
        <w:pStyle w:val="24"/>
        <w:jc w:val="distribute"/>
        <w:rPr>
          <w:rStyle w:val="15"/>
          <w:b w:val="0"/>
          <w:bCs/>
          <w:color w:val="auto"/>
          <w:szCs w:val="24"/>
          <w:u w:val="none"/>
        </w:rPr>
      </w:pPr>
      <w:r>
        <w:fldChar w:fldCharType="begin"/>
      </w:r>
      <w:r>
        <w:instrText xml:space="preserve"> HYPERLINK \l "_Toc68619136" </w:instrText>
      </w:r>
      <w:r>
        <w:fldChar w:fldCharType="separate"/>
      </w:r>
      <w:r>
        <w:rPr>
          <w:rStyle w:val="15"/>
          <w:rFonts w:hint="eastAsia" w:ascii="Times New Roman" w:hAnsi="Times New Roman" w:cs="Times New Roman"/>
          <w:b w:val="0"/>
          <w:bCs/>
          <w:color w:val="auto"/>
          <w:szCs w:val="24"/>
          <w:u w:val="none"/>
        </w:rPr>
        <w:t xml:space="preserve">第一章  比选公告 </w:t>
      </w:r>
      <w:r>
        <w:rPr>
          <w:rStyle w:val="15"/>
          <w:rFonts w:hint="eastAsia"/>
          <w:b w:val="0"/>
          <w:bCs/>
          <w:color w:val="auto"/>
          <w:szCs w:val="24"/>
          <w:u w:val="none"/>
        </w:rPr>
        <w:t>.......................................................</w:t>
      </w:r>
      <w:r>
        <w:rPr>
          <w:rStyle w:val="15"/>
          <w:rFonts w:hint="eastAsia"/>
          <w:b w:val="0"/>
          <w:bCs/>
          <w:color w:val="auto"/>
          <w:szCs w:val="24"/>
          <w:u w:val="none"/>
        </w:rPr>
        <w:fldChar w:fldCharType="end"/>
      </w:r>
      <w:r>
        <w:rPr>
          <w:rStyle w:val="15"/>
          <w:rFonts w:hint="eastAsia"/>
          <w:b w:val="0"/>
          <w:bCs/>
          <w:color w:val="auto"/>
          <w:szCs w:val="24"/>
          <w:u w:val="none"/>
        </w:rPr>
        <w:t>2</w:t>
      </w:r>
    </w:p>
    <w:p>
      <w:pPr>
        <w:pStyle w:val="24"/>
        <w:jc w:val="distribute"/>
        <w:rPr>
          <w:rStyle w:val="15"/>
          <w:b w:val="0"/>
          <w:bCs/>
          <w:color w:val="auto"/>
          <w:szCs w:val="24"/>
          <w:u w:val="none"/>
        </w:rPr>
      </w:pPr>
      <w:r>
        <w:fldChar w:fldCharType="begin"/>
      </w:r>
      <w:r>
        <w:instrText xml:space="preserve"> HYPERLINK \l "_Toc68619136" </w:instrText>
      </w:r>
      <w:r>
        <w:fldChar w:fldCharType="separate"/>
      </w:r>
      <w:r>
        <w:rPr>
          <w:rStyle w:val="15"/>
          <w:rFonts w:hint="eastAsia" w:ascii="Times New Roman" w:hAnsi="Times New Roman" w:cs="Times New Roman"/>
          <w:b w:val="0"/>
          <w:bCs/>
          <w:color w:val="auto"/>
          <w:szCs w:val="24"/>
          <w:u w:val="none"/>
        </w:rPr>
        <w:t xml:space="preserve">第二章  投标人须知 </w:t>
      </w:r>
      <w:r>
        <w:rPr>
          <w:rStyle w:val="15"/>
          <w:rFonts w:hint="eastAsia"/>
          <w:b w:val="0"/>
          <w:bCs/>
          <w:color w:val="auto"/>
          <w:szCs w:val="24"/>
          <w:u w:val="none"/>
        </w:rPr>
        <w:t>.....................................................</w:t>
      </w:r>
      <w:r>
        <w:rPr>
          <w:rStyle w:val="15"/>
          <w:rFonts w:hint="eastAsia"/>
          <w:b w:val="0"/>
          <w:bCs/>
          <w:color w:val="auto"/>
          <w:szCs w:val="24"/>
          <w:u w:val="none"/>
        </w:rPr>
        <w:fldChar w:fldCharType="end"/>
      </w:r>
      <w:r>
        <w:rPr>
          <w:rStyle w:val="15"/>
          <w:rFonts w:hint="eastAsia"/>
          <w:b w:val="0"/>
          <w:bCs/>
          <w:color w:val="auto"/>
          <w:szCs w:val="24"/>
          <w:u w:val="none"/>
        </w:rPr>
        <w:t>4</w:t>
      </w:r>
    </w:p>
    <w:p>
      <w:pPr>
        <w:pStyle w:val="24"/>
        <w:jc w:val="distribute"/>
        <w:rPr>
          <w:rStyle w:val="15"/>
          <w:b w:val="0"/>
          <w:bCs/>
          <w:color w:val="auto"/>
          <w:szCs w:val="24"/>
          <w:u w:val="none"/>
        </w:rPr>
      </w:pPr>
      <w:r>
        <w:fldChar w:fldCharType="begin"/>
      </w:r>
      <w:r>
        <w:instrText xml:space="preserve"> HYPERLINK \l "_Toc68619136" </w:instrText>
      </w:r>
      <w:r>
        <w:fldChar w:fldCharType="separate"/>
      </w:r>
      <w:r>
        <w:rPr>
          <w:rStyle w:val="15"/>
          <w:rFonts w:hint="eastAsia" w:ascii="Times New Roman" w:hAnsi="Times New Roman" w:cs="Times New Roman"/>
          <w:b w:val="0"/>
          <w:bCs/>
          <w:color w:val="auto"/>
          <w:szCs w:val="24"/>
          <w:u w:val="none"/>
        </w:rPr>
        <w:t xml:space="preserve">第三章  </w:t>
      </w:r>
      <w:r>
        <w:rPr>
          <w:rStyle w:val="15"/>
          <w:rFonts w:hint="eastAsia" w:ascii="Times New Roman" w:hAnsi="Times New Roman" w:cs="Times New Roman"/>
          <w:b w:val="0"/>
          <w:bCs/>
          <w:color w:val="auto"/>
          <w:szCs w:val="24"/>
          <w:u w:val="none"/>
          <w:lang w:val="zh-CN"/>
        </w:rPr>
        <w:t>投标文件格式及要求</w:t>
      </w:r>
      <w:r>
        <w:rPr>
          <w:rFonts w:hint="eastAsia"/>
        </w:rPr>
        <w:tab/>
      </w:r>
      <w:r>
        <w:rPr>
          <w:rStyle w:val="15"/>
          <w:rFonts w:hint="eastAsia"/>
          <w:b w:val="0"/>
          <w:bCs/>
          <w:color w:val="auto"/>
          <w:szCs w:val="24"/>
          <w:u w:val="none"/>
        </w:rPr>
        <w:t>..............................................</w:t>
      </w:r>
      <w:r>
        <w:rPr>
          <w:rStyle w:val="15"/>
          <w:rFonts w:hint="eastAsia"/>
          <w:b w:val="0"/>
          <w:bCs/>
          <w:color w:val="auto"/>
          <w:szCs w:val="24"/>
          <w:u w:val="none"/>
        </w:rPr>
        <w:fldChar w:fldCharType="end"/>
      </w:r>
      <w:r>
        <w:rPr>
          <w:rStyle w:val="15"/>
          <w:rFonts w:hint="eastAsia"/>
          <w:b w:val="0"/>
          <w:bCs/>
          <w:color w:val="auto"/>
          <w:szCs w:val="24"/>
          <w:u w:val="none"/>
        </w:rPr>
        <w:t>5</w:t>
      </w:r>
    </w:p>
    <w:p>
      <w:pPr>
        <w:pStyle w:val="24"/>
        <w:jc w:val="distribute"/>
      </w:pPr>
      <w:r>
        <w:fldChar w:fldCharType="begin"/>
      </w:r>
      <w:r>
        <w:instrText xml:space="preserve"> HYPERLINK \l "_Toc68619136" </w:instrText>
      </w:r>
      <w:r>
        <w:fldChar w:fldCharType="separate"/>
      </w:r>
      <w:r>
        <w:rPr>
          <w:rStyle w:val="15"/>
          <w:rFonts w:hint="eastAsia" w:ascii="Times New Roman" w:hAnsi="Times New Roman" w:cs="Times New Roman"/>
          <w:b w:val="0"/>
          <w:bCs/>
          <w:color w:val="auto"/>
          <w:szCs w:val="24"/>
          <w:u w:val="none"/>
        </w:rPr>
        <w:t xml:space="preserve">第四章 </w:t>
      </w:r>
      <w:r>
        <w:rPr>
          <w:rFonts w:hint="eastAsia"/>
        </w:rPr>
        <w:t xml:space="preserve"> </w:t>
      </w:r>
      <w:r>
        <w:rPr>
          <w:rStyle w:val="15"/>
          <w:rFonts w:hint="eastAsia" w:ascii="Times New Roman" w:hAnsi="Times New Roman" w:cs="Times New Roman"/>
          <w:b w:val="0"/>
          <w:bCs/>
          <w:color w:val="auto"/>
          <w:szCs w:val="24"/>
          <w:u w:val="none"/>
        </w:rPr>
        <w:t>技术及其他要求</w:t>
      </w:r>
      <w:r>
        <w:rPr>
          <w:rFonts w:hint="eastAsia"/>
        </w:rPr>
        <w:tab/>
      </w:r>
      <w:r>
        <w:rPr>
          <w:rStyle w:val="15"/>
          <w:rFonts w:hint="eastAsia"/>
          <w:b w:val="0"/>
          <w:bCs/>
          <w:color w:val="auto"/>
          <w:szCs w:val="24"/>
          <w:u w:val="none"/>
        </w:rPr>
        <w:t>.................................................</w:t>
      </w:r>
      <w:r>
        <w:rPr>
          <w:rStyle w:val="15"/>
          <w:rFonts w:hint="eastAsia"/>
          <w:b w:val="0"/>
          <w:bCs/>
          <w:color w:val="auto"/>
          <w:szCs w:val="24"/>
          <w:u w:val="none"/>
        </w:rPr>
        <w:fldChar w:fldCharType="end"/>
      </w:r>
      <w:r>
        <w:rPr>
          <w:rStyle w:val="15"/>
          <w:rFonts w:hint="eastAsia"/>
          <w:b w:val="0"/>
          <w:bCs/>
          <w:color w:val="auto"/>
          <w:szCs w:val="24"/>
          <w:u w:val="none"/>
        </w:rPr>
        <w:t>10</w:t>
      </w:r>
    </w:p>
    <w:p>
      <w:pPr>
        <w:pStyle w:val="24"/>
        <w:jc w:val="distribute"/>
        <w:rPr>
          <w:rStyle w:val="15"/>
          <w:b w:val="0"/>
          <w:bCs/>
          <w:color w:val="auto"/>
          <w:szCs w:val="24"/>
          <w:u w:val="none"/>
        </w:rPr>
      </w:pPr>
      <w:r>
        <w:fldChar w:fldCharType="begin"/>
      </w:r>
      <w:r>
        <w:instrText xml:space="preserve"> HYPERLINK \l "_Toc68619136" </w:instrText>
      </w:r>
      <w:r>
        <w:fldChar w:fldCharType="separate"/>
      </w:r>
      <w:r>
        <w:rPr>
          <w:rStyle w:val="15"/>
          <w:rFonts w:hint="eastAsia" w:ascii="Times New Roman" w:hAnsi="Times New Roman" w:cs="Times New Roman"/>
          <w:b w:val="0"/>
          <w:bCs/>
          <w:color w:val="auto"/>
          <w:szCs w:val="24"/>
          <w:u w:val="none"/>
        </w:rPr>
        <w:t>第五章</w:t>
      </w:r>
      <w:r>
        <w:rPr>
          <w:rStyle w:val="15"/>
          <w:rFonts w:hint="eastAsia"/>
          <w:bCs/>
          <w:color w:val="auto"/>
          <w:szCs w:val="24"/>
          <w:u w:val="none"/>
        </w:rPr>
        <w:t xml:space="preserve">  </w:t>
      </w:r>
      <w:r>
        <w:rPr>
          <w:rStyle w:val="15"/>
          <w:rFonts w:hint="eastAsia"/>
          <w:b w:val="0"/>
          <w:bCs/>
          <w:color w:val="auto"/>
          <w:szCs w:val="24"/>
          <w:u w:val="none"/>
        </w:rPr>
        <w:t>评审办法及标准 ..................................................1</w:t>
      </w:r>
      <w:r>
        <w:rPr>
          <w:rStyle w:val="15"/>
          <w:rFonts w:hint="eastAsia"/>
          <w:b w:val="0"/>
          <w:bCs/>
          <w:color w:val="auto"/>
          <w:szCs w:val="24"/>
          <w:u w:val="none"/>
        </w:rPr>
        <w:fldChar w:fldCharType="end"/>
      </w:r>
      <w:r>
        <w:rPr>
          <w:rStyle w:val="15"/>
          <w:rFonts w:hint="eastAsia"/>
          <w:b w:val="0"/>
          <w:bCs/>
          <w:color w:val="auto"/>
          <w:szCs w:val="24"/>
          <w:u w:val="none"/>
        </w:rPr>
        <w:t>2</w:t>
      </w:r>
    </w:p>
    <w:p>
      <w:pPr>
        <w:ind w:firstLine="480"/>
      </w:pPr>
      <w:r>
        <w:rPr>
          <w:rFonts w:hint="eastAsia"/>
        </w:rPr>
        <w:t xml:space="preserve"> </w:t>
      </w:r>
    </w:p>
    <w:p>
      <w:pPr>
        <w:ind w:firstLine="480"/>
      </w:pPr>
      <w:r>
        <w:rPr>
          <w:rFonts w:hint="eastAsia"/>
        </w:rPr>
        <w:tab/>
      </w:r>
    </w:p>
    <w:p>
      <w:pPr>
        <w:ind w:firstLine="480"/>
      </w:pPr>
      <w:r>
        <w:rPr>
          <w:rFonts w:hint="eastAsia"/>
        </w:rPr>
        <w:br w:type="page"/>
      </w:r>
    </w:p>
    <w:p>
      <w:pPr>
        <w:pStyle w:val="2"/>
        <w:ind w:firstLine="562"/>
        <w:sectPr>
          <w:footerReference r:id="rId11" w:type="default"/>
          <w:pgSz w:w="11906" w:h="16838"/>
          <w:pgMar w:top="1440" w:right="1080" w:bottom="1440" w:left="1080" w:header="851" w:footer="992" w:gutter="0"/>
          <w:pgNumType w:start="1"/>
          <w:cols w:space="425" w:num="1"/>
          <w:docGrid w:type="lines" w:linePitch="312" w:charSpace="0"/>
        </w:sectPr>
      </w:pPr>
    </w:p>
    <w:p>
      <w:pPr>
        <w:pStyle w:val="2"/>
        <w:ind w:firstLine="562"/>
        <w:rPr>
          <w:highlight w:val="yellow"/>
        </w:rPr>
      </w:pPr>
      <w:bookmarkStart w:id="2" w:name="_Toc66971932"/>
      <w:r>
        <w:rPr>
          <w:rFonts w:hint="eastAsia"/>
        </w:rPr>
        <w:t>第一章 比选公告</w:t>
      </w:r>
    </w:p>
    <w:p>
      <w:pPr>
        <w:ind w:firstLine="480"/>
      </w:pPr>
      <w:r>
        <w:rPr>
          <w:rFonts w:hint="eastAsia"/>
        </w:rPr>
        <w:t>四川省地质矿产勘查开发局拟对“四川省地质矿产勘查开发局2023年度财务决算审计项目”进行三方服务机构比选，诚邀符合资格条件的投标人参与本项目的投标。</w:t>
      </w:r>
    </w:p>
    <w:p>
      <w:pPr>
        <w:pStyle w:val="3"/>
        <w:ind w:firstLine="482"/>
      </w:pPr>
      <w:r>
        <w:rPr>
          <w:rFonts w:hint="eastAsia"/>
        </w:rPr>
        <w:t>一、项目名称</w:t>
      </w:r>
    </w:p>
    <w:p>
      <w:pPr>
        <w:ind w:firstLine="480"/>
      </w:pPr>
      <w:r>
        <w:rPr>
          <w:rFonts w:hint="eastAsia"/>
        </w:rPr>
        <w:t>四川省地质矿产勘查开发局2023年度财务决算审计项目</w:t>
      </w:r>
    </w:p>
    <w:p>
      <w:pPr>
        <w:pStyle w:val="3"/>
        <w:ind w:firstLine="482"/>
      </w:pPr>
      <w:r>
        <w:rPr>
          <w:rFonts w:hint="eastAsia"/>
        </w:rPr>
        <w:t>二、项目简介</w:t>
      </w:r>
    </w:p>
    <w:p>
      <w:pPr>
        <w:ind w:firstLine="480"/>
      </w:pPr>
      <w:r>
        <w:rPr>
          <w:rFonts w:hint="eastAsia"/>
        </w:rPr>
        <w:t>具体详见技术及其他要求。</w:t>
      </w:r>
    </w:p>
    <w:p>
      <w:pPr>
        <w:pStyle w:val="3"/>
        <w:ind w:firstLine="482"/>
      </w:pPr>
      <w:r>
        <w:rPr>
          <w:rFonts w:hint="eastAsia"/>
        </w:rPr>
        <w:t>三、投标人资格要求</w:t>
      </w:r>
    </w:p>
    <w:p>
      <w:pPr>
        <w:ind w:firstLine="480"/>
      </w:pPr>
      <w:r>
        <w:rPr>
          <w:rFonts w:hint="eastAsia"/>
        </w:rPr>
        <w:t>1.具有独立承担民事责任的能力；</w:t>
      </w:r>
    </w:p>
    <w:p>
      <w:pPr>
        <w:ind w:firstLine="480"/>
      </w:pPr>
      <w:r>
        <w:rPr>
          <w:rFonts w:hint="eastAsia"/>
        </w:rPr>
        <w:t>2.具有良好的商业信誉和健全的财务会计制度；</w:t>
      </w:r>
    </w:p>
    <w:p>
      <w:pPr>
        <w:ind w:firstLine="480"/>
      </w:pPr>
      <w:r>
        <w:rPr>
          <w:rFonts w:hint="eastAsia"/>
        </w:rPr>
        <w:t>3.具有履行合同所必须的设备和专业服务能力；</w:t>
      </w:r>
    </w:p>
    <w:p>
      <w:pPr>
        <w:ind w:firstLine="480"/>
      </w:pPr>
      <w:r>
        <w:rPr>
          <w:rFonts w:hint="eastAsia"/>
        </w:rPr>
        <w:t>4.具有依法缴纳税收和社会保障资金的良好记录；</w:t>
      </w:r>
    </w:p>
    <w:p>
      <w:pPr>
        <w:ind w:firstLine="480"/>
      </w:pPr>
      <w:r>
        <w:rPr>
          <w:rFonts w:hint="eastAsia"/>
        </w:rPr>
        <w:t>5.参加本次投标活动前三年内，在经营活动中没有重大违法记录；</w:t>
      </w:r>
    </w:p>
    <w:p>
      <w:pPr>
        <w:ind w:firstLine="480"/>
      </w:pPr>
      <w:r>
        <w:rPr>
          <w:rFonts w:hint="eastAsia"/>
        </w:rPr>
        <w:t>6.法律、行政法规规定的其他条件；</w:t>
      </w:r>
    </w:p>
    <w:p>
      <w:pPr>
        <w:ind w:firstLine="480"/>
      </w:pPr>
      <w:r>
        <w:t>7</w:t>
      </w:r>
      <w:r>
        <w:rPr>
          <w:rFonts w:hint="eastAsia"/>
        </w:rPr>
        <w:t>.本项目参加招标活动的投标人、法定代表人或主要负责人前3年内不得具有行贿犯罪记录；</w:t>
      </w:r>
    </w:p>
    <w:p>
      <w:pPr>
        <w:ind w:firstLine="480"/>
      </w:pPr>
      <w:r>
        <w:t>8</w:t>
      </w:r>
      <w:r>
        <w:rPr>
          <w:rFonts w:hint="eastAsia"/>
        </w:rPr>
        <w:t>.本项目不接受联合体参与投标；</w:t>
      </w:r>
      <w:bookmarkStart w:id="90" w:name="_GoBack"/>
      <w:bookmarkEnd w:id="90"/>
    </w:p>
    <w:p>
      <w:pPr>
        <w:ind w:firstLine="480"/>
      </w:pPr>
      <w:r>
        <w:t>9</w:t>
      </w:r>
      <w:r>
        <w:rPr>
          <w:rFonts w:hint="eastAsia"/>
        </w:rPr>
        <w:t>.投标人应具备有效的《会计师事务所执业证书》。</w:t>
      </w:r>
    </w:p>
    <w:p>
      <w:pPr>
        <w:pStyle w:val="3"/>
        <w:ind w:firstLine="482"/>
      </w:pPr>
      <w:r>
        <w:rPr>
          <w:rFonts w:hint="eastAsia"/>
        </w:rPr>
        <w:t>四、递交投标文件的时间及地点</w:t>
      </w:r>
    </w:p>
    <w:p>
      <w:pPr>
        <w:ind w:firstLine="480"/>
      </w:pPr>
      <w:r>
        <w:rPr>
          <w:rFonts w:hint="eastAsia"/>
          <w:color w:val="auto"/>
        </w:rPr>
        <w:t>投标人于2024年3月5日上午10:30</w:t>
      </w:r>
      <w:r>
        <w:rPr>
          <w:rFonts w:hint="eastAsia"/>
          <w:color w:val="auto"/>
          <w:lang w:eastAsia="zh-CN"/>
        </w:rPr>
        <w:t>前</w:t>
      </w:r>
      <w:r>
        <w:rPr>
          <w:rFonts w:hint="eastAsia"/>
          <w:color w:val="auto"/>
        </w:rPr>
        <w:t>，将密封的投标文件递交</w:t>
      </w:r>
      <w:r>
        <w:rPr>
          <w:rFonts w:hint="default"/>
          <w:color w:val="auto"/>
          <w:lang w:val="en-US"/>
        </w:rPr>
        <w:t>至</w:t>
      </w:r>
      <w:r>
        <w:rPr>
          <w:rFonts w:hint="eastAsia"/>
        </w:rPr>
        <w:t>四川省地质矿产勘查开发局11</w:t>
      </w:r>
      <w:r>
        <w:rPr>
          <w:rFonts w:hint="eastAsia"/>
          <w:lang w:val="en-US" w:eastAsia="zh-CN"/>
        </w:rPr>
        <w:t>12</w:t>
      </w:r>
      <w:r>
        <w:rPr>
          <w:rFonts w:hint="eastAsia"/>
        </w:rPr>
        <w:t>室，逾期送达、密封和标注错误的投标文件恕不接收。本次不接收邮寄的投标文件。</w:t>
      </w:r>
    </w:p>
    <w:bookmarkEnd w:id="2"/>
    <w:p>
      <w:pPr>
        <w:pStyle w:val="3"/>
        <w:ind w:firstLine="482"/>
      </w:pPr>
      <w:r>
        <w:rPr>
          <w:rFonts w:hint="eastAsia"/>
        </w:rPr>
        <w:t>五、本项目发布</w:t>
      </w:r>
    </w:p>
    <w:p>
      <w:pPr>
        <w:ind w:firstLine="480"/>
      </w:pPr>
      <w:r>
        <w:rPr>
          <w:rFonts w:hint="eastAsia"/>
        </w:rPr>
        <w:t>投标结果发布在四川省地质矿产勘查开发局官网。</w:t>
      </w:r>
    </w:p>
    <w:p>
      <w:pPr>
        <w:pStyle w:val="3"/>
        <w:ind w:firstLine="482"/>
      </w:pPr>
      <w:r>
        <w:rPr>
          <w:rFonts w:hint="eastAsia"/>
        </w:rPr>
        <w:t>六、招标人的有关信息</w:t>
      </w:r>
    </w:p>
    <w:p>
      <w:pPr>
        <w:ind w:firstLine="480"/>
      </w:pPr>
      <w:r>
        <w:rPr>
          <w:rFonts w:hint="eastAsia"/>
        </w:rPr>
        <w:t>招标人：四川省地质矿产勘查开发局</w:t>
      </w:r>
    </w:p>
    <w:p>
      <w:pPr>
        <w:ind w:firstLine="480"/>
      </w:pPr>
      <w:r>
        <w:rPr>
          <w:rFonts w:hint="eastAsia"/>
        </w:rPr>
        <w:t>地址：四川省成都市金牛区人民北路一段25号</w:t>
      </w:r>
    </w:p>
    <w:p>
      <w:pPr>
        <w:ind w:firstLine="480"/>
        <w:rPr>
          <w:rFonts w:hint="eastAsia" w:eastAsia="宋体"/>
          <w:highlight w:val="none"/>
          <w:lang w:eastAsia="zh-CN"/>
        </w:rPr>
      </w:pPr>
      <w:r>
        <w:rPr>
          <w:rFonts w:hint="eastAsia"/>
          <w:highlight w:val="none"/>
        </w:rPr>
        <w:t>联系人：</w:t>
      </w:r>
      <w:r>
        <w:rPr>
          <w:rFonts w:hint="eastAsia"/>
          <w:highlight w:val="none"/>
          <w:lang w:eastAsia="zh-CN"/>
        </w:rPr>
        <w:t>黄老师</w:t>
      </w:r>
    </w:p>
    <w:p>
      <w:pPr>
        <w:ind w:firstLine="480"/>
      </w:pPr>
      <w:r>
        <w:rPr>
          <w:rFonts w:hint="eastAsia"/>
          <w:highlight w:val="none"/>
        </w:rPr>
        <w:t>联系电话：</w:t>
      </w:r>
      <w:r>
        <w:rPr>
          <w:rFonts w:hint="eastAsia"/>
          <w:highlight w:val="none"/>
          <w:lang w:val="en-US" w:eastAsia="zh-CN"/>
        </w:rPr>
        <w:t>028-83222275</w:t>
      </w:r>
      <w:r>
        <w:rPr>
          <w:rFonts w:hint="eastAsia"/>
        </w:rPr>
        <w:br w:type="page"/>
      </w:r>
    </w:p>
    <w:p>
      <w:pPr>
        <w:pStyle w:val="2"/>
        <w:ind w:firstLine="562"/>
      </w:pPr>
      <w:r>
        <w:rPr>
          <w:rFonts w:hint="eastAsia"/>
        </w:rPr>
        <w:t>第二章 投标人须知</w:t>
      </w:r>
    </w:p>
    <w:p>
      <w:pPr>
        <w:pStyle w:val="3"/>
        <w:ind w:firstLine="482"/>
      </w:pPr>
      <w:r>
        <w:rPr>
          <w:rFonts w:hint="eastAsia"/>
        </w:rPr>
        <w:t>一、</w:t>
      </w:r>
      <w:bookmarkStart w:id="3" w:name="_Toc149481868"/>
      <w:bookmarkStart w:id="4" w:name="_Toc425509575"/>
      <w:bookmarkStart w:id="5" w:name="_Toc77742969"/>
      <w:bookmarkStart w:id="6" w:name="_Toc77742797"/>
      <w:r>
        <w:rPr>
          <w:rFonts w:hint="eastAsia"/>
        </w:rPr>
        <w:t>投标文件的编制</w:t>
      </w:r>
      <w:bookmarkEnd w:id="3"/>
      <w:bookmarkEnd w:id="4"/>
      <w:bookmarkEnd w:id="5"/>
      <w:bookmarkEnd w:id="6"/>
      <w:bookmarkStart w:id="7" w:name="_Toc77742798"/>
      <w:bookmarkStart w:id="8" w:name="_Toc77742970"/>
      <w:bookmarkStart w:id="9" w:name="_Toc149481869"/>
    </w:p>
    <w:bookmarkEnd w:id="7"/>
    <w:bookmarkEnd w:id="8"/>
    <w:bookmarkEnd w:id="9"/>
    <w:p>
      <w:pPr>
        <w:ind w:firstLine="480"/>
      </w:pPr>
      <w:r>
        <w:rPr>
          <w:rFonts w:hint="eastAsia"/>
        </w:rPr>
        <w:t>（一）投标文件应包括下列内容：</w:t>
      </w:r>
    </w:p>
    <w:p>
      <w:pPr>
        <w:ind w:firstLine="480"/>
      </w:pPr>
      <w:r>
        <w:rPr>
          <w:rFonts w:hint="eastAsia"/>
        </w:rPr>
        <w:t>1.投标函；</w:t>
      </w:r>
    </w:p>
    <w:p>
      <w:pPr>
        <w:ind w:firstLine="480"/>
        <w:rPr>
          <w:b/>
        </w:rPr>
      </w:pPr>
      <w:r>
        <w:rPr>
          <w:rFonts w:hint="eastAsia"/>
        </w:rPr>
        <w:t>2.资格承诺函；</w:t>
      </w:r>
    </w:p>
    <w:p>
      <w:pPr>
        <w:ind w:firstLine="480"/>
        <w:rPr>
          <w:b/>
        </w:rPr>
      </w:pPr>
      <w:r>
        <w:rPr>
          <w:rFonts w:hint="eastAsia"/>
          <w:bCs/>
        </w:rPr>
        <w:t>3</w:t>
      </w:r>
      <w:r>
        <w:rPr>
          <w:rFonts w:hint="eastAsia"/>
          <w:b/>
        </w:rPr>
        <w:t>.</w:t>
      </w:r>
      <w:r>
        <w:rPr>
          <w:rFonts w:hint="eastAsia"/>
        </w:rPr>
        <w:t>营业执照复印件（正本或副本）或法人证书复印件（正本或副本）或执业许可证明【营业执照或法人证书或执业许可证明材料载明有期限的，应在有效期限内】；</w:t>
      </w:r>
    </w:p>
    <w:p>
      <w:pPr>
        <w:ind w:firstLine="480"/>
      </w:pPr>
      <w:r>
        <w:rPr>
          <w:rFonts w:hint="eastAsia"/>
        </w:rPr>
        <w:t>4.法定代表人身份</w:t>
      </w:r>
      <w:r>
        <w:rPr>
          <w:rFonts w:hint="eastAsia"/>
          <w:lang w:val="en-US" w:eastAsia="zh-CN"/>
        </w:rPr>
        <w:t>证</w:t>
      </w:r>
      <w:r>
        <w:rPr>
          <w:rFonts w:hint="eastAsia"/>
        </w:rPr>
        <w:t>复印件；</w:t>
      </w:r>
    </w:p>
    <w:p>
      <w:pPr>
        <w:ind w:firstLine="480"/>
      </w:pPr>
      <w:r>
        <w:rPr>
          <w:rFonts w:hint="eastAsia"/>
        </w:rPr>
        <w:t>5.法定代表人授权委托书（签字人为法定代表人的，可不提供）；</w:t>
      </w:r>
    </w:p>
    <w:p>
      <w:pPr>
        <w:ind w:firstLine="480"/>
      </w:pPr>
      <w:r>
        <w:rPr>
          <w:rFonts w:hint="eastAsia"/>
        </w:rPr>
        <w:t>6.报价表；</w:t>
      </w:r>
    </w:p>
    <w:p>
      <w:pPr>
        <w:ind w:firstLine="480"/>
      </w:pPr>
      <w:r>
        <w:rPr>
          <w:rFonts w:hint="eastAsia"/>
        </w:rPr>
        <w:t>7.项目实施方案；</w:t>
      </w:r>
    </w:p>
    <w:p>
      <w:pPr>
        <w:ind w:firstLine="480"/>
      </w:pPr>
      <w:r>
        <w:rPr>
          <w:rFonts w:hint="eastAsia"/>
          <w:bCs/>
        </w:rPr>
        <w:t>8</w:t>
      </w:r>
      <w:r>
        <w:rPr>
          <w:rFonts w:hint="eastAsia"/>
        </w:rPr>
        <w:t>.其他投标人认为应提交的材料。</w:t>
      </w:r>
    </w:p>
    <w:p>
      <w:pPr>
        <w:ind w:firstLine="480"/>
      </w:pPr>
      <w:r>
        <w:rPr>
          <w:rFonts w:hint="eastAsia"/>
        </w:rPr>
        <w:t>（二）报价</w:t>
      </w:r>
    </w:p>
    <w:p>
      <w:pPr>
        <w:ind w:firstLine="480"/>
      </w:pPr>
      <w:r>
        <w:rPr>
          <w:rFonts w:hint="eastAsia"/>
        </w:rPr>
        <w:t>1.报价是投标人响应项目要求的全部工作内容的价格体现，包括投标人完成本项目所需的一切费用。</w:t>
      </w:r>
    </w:p>
    <w:p>
      <w:pPr>
        <w:ind w:firstLine="480"/>
      </w:pPr>
      <w:r>
        <w:rPr>
          <w:rFonts w:hint="eastAsia"/>
        </w:rPr>
        <w:t>2.投标人只允许有一个报价，并且在合同履行过程中是固定不变的，任何有选择或可调整的报价将不予接受，并按无效投标处理。</w:t>
      </w:r>
      <w:bookmarkStart w:id="10" w:name="_Toc77742972"/>
      <w:bookmarkStart w:id="11" w:name="_Toc149481872"/>
      <w:bookmarkStart w:id="12" w:name="_Toc77742800"/>
    </w:p>
    <w:bookmarkEnd w:id="10"/>
    <w:bookmarkEnd w:id="11"/>
    <w:bookmarkEnd w:id="12"/>
    <w:p>
      <w:pPr>
        <w:pStyle w:val="3"/>
        <w:ind w:firstLine="482"/>
      </w:pPr>
      <w:bookmarkStart w:id="13" w:name="_Toc149481874"/>
      <w:bookmarkStart w:id="14" w:name="_Toc77742802"/>
      <w:bookmarkStart w:id="15" w:name="_Toc77742974"/>
      <w:r>
        <w:rPr>
          <w:rFonts w:hint="eastAsia"/>
        </w:rPr>
        <w:t>二、投标文件的递交</w:t>
      </w:r>
      <w:bookmarkEnd w:id="13"/>
      <w:bookmarkEnd w:id="14"/>
      <w:bookmarkEnd w:id="15"/>
    </w:p>
    <w:p>
      <w:pPr>
        <w:ind w:firstLine="480"/>
      </w:pPr>
      <w:bookmarkStart w:id="16" w:name="_Toc425509576"/>
      <w:bookmarkStart w:id="17" w:name="_Toc77742806"/>
      <w:bookmarkStart w:id="18" w:name="_Toc77742978"/>
      <w:bookmarkStart w:id="19" w:name="_Toc149481878"/>
      <w:r>
        <w:rPr>
          <w:rFonts w:hint="eastAsia"/>
        </w:rPr>
        <w:t>投标人应在截止时间前将密封的投标文件提交到指定地点，由评审小组进行评审。在截止时间过后送达的投标文件不予受理。</w:t>
      </w:r>
    </w:p>
    <w:p>
      <w:pPr>
        <w:pStyle w:val="3"/>
        <w:ind w:firstLine="482"/>
      </w:pPr>
      <w:r>
        <w:rPr>
          <w:rFonts w:hint="eastAsia"/>
        </w:rPr>
        <w:t>三、</w:t>
      </w:r>
      <w:bookmarkEnd w:id="16"/>
      <w:bookmarkEnd w:id="17"/>
      <w:bookmarkEnd w:id="18"/>
      <w:bookmarkEnd w:id="19"/>
      <w:bookmarkStart w:id="20" w:name="_Toc77742979"/>
      <w:bookmarkStart w:id="21" w:name="_Toc77742807"/>
      <w:bookmarkStart w:id="22" w:name="_Toc149481879"/>
      <w:r>
        <w:rPr>
          <w:rFonts w:hint="eastAsia"/>
        </w:rPr>
        <w:t>评审</w:t>
      </w:r>
    </w:p>
    <w:bookmarkEnd w:id="20"/>
    <w:bookmarkEnd w:id="21"/>
    <w:bookmarkEnd w:id="22"/>
    <w:p>
      <w:pPr>
        <w:ind w:firstLine="480"/>
      </w:pPr>
      <w:bookmarkStart w:id="23" w:name="_Toc77742980"/>
      <w:bookmarkStart w:id="24" w:name="_Toc77742808"/>
      <w:bookmarkStart w:id="25" w:name="_Toc149481880"/>
      <w:r>
        <w:rPr>
          <w:rFonts w:hint="eastAsia"/>
        </w:rPr>
        <w:t>1</w:t>
      </w:r>
      <w:bookmarkEnd w:id="23"/>
      <w:bookmarkEnd w:id="24"/>
      <w:bookmarkEnd w:id="25"/>
      <w:r>
        <w:rPr>
          <w:rFonts w:hint="eastAsia"/>
        </w:rPr>
        <w:t>.评审小组</w:t>
      </w:r>
      <w:bookmarkStart w:id="26" w:name="_Toc77742809"/>
      <w:bookmarkStart w:id="27" w:name="_Toc149481881"/>
      <w:bookmarkStart w:id="28" w:name="_Toc77742981"/>
      <w:r>
        <w:rPr>
          <w:rFonts w:hint="eastAsia"/>
        </w:rPr>
        <w:t>由3名招标人代表和1名监督代表组成，对各投标人的投标文件进行评审。</w:t>
      </w:r>
    </w:p>
    <w:p>
      <w:pPr>
        <w:ind w:firstLine="480"/>
      </w:pPr>
      <w:r>
        <w:rPr>
          <w:rFonts w:hint="eastAsia"/>
        </w:rPr>
        <w:t>2</w:t>
      </w:r>
      <w:bookmarkEnd w:id="26"/>
      <w:bookmarkEnd w:id="27"/>
      <w:bookmarkEnd w:id="28"/>
      <w:r>
        <w:rPr>
          <w:rFonts w:hint="eastAsia"/>
        </w:rPr>
        <w:t>.评审小组在监督人的监督下进行评审。只有资格审查合格的投标文件才能进入下一评审程序。</w:t>
      </w:r>
      <w:bookmarkStart w:id="29" w:name="_Toc77742982"/>
      <w:bookmarkStart w:id="30" w:name="_Toc149481882"/>
      <w:bookmarkStart w:id="31" w:name="_Toc77742810"/>
    </w:p>
    <w:bookmarkEnd w:id="29"/>
    <w:bookmarkEnd w:id="30"/>
    <w:bookmarkEnd w:id="31"/>
    <w:p>
      <w:pPr>
        <w:ind w:firstLine="480"/>
      </w:pPr>
      <w:bookmarkStart w:id="32" w:name="_Toc77742811"/>
      <w:bookmarkStart w:id="33" w:name="_Toc149481883"/>
      <w:bookmarkStart w:id="34" w:name="_Toc77742983"/>
      <w:r>
        <w:rPr>
          <w:rFonts w:hint="eastAsia"/>
        </w:rPr>
        <w:t>3.评审办法及标准</w:t>
      </w:r>
      <w:bookmarkEnd w:id="32"/>
      <w:bookmarkEnd w:id="33"/>
      <w:bookmarkEnd w:id="34"/>
      <w:r>
        <w:rPr>
          <w:rFonts w:hint="eastAsia"/>
        </w:rPr>
        <w:t>见第五章。</w:t>
      </w:r>
      <w:bookmarkStart w:id="35" w:name="_Toc77742812"/>
      <w:bookmarkStart w:id="36" w:name="_Toc149481884"/>
      <w:bookmarkStart w:id="37" w:name="_Toc77742984"/>
      <w:bookmarkStart w:id="38" w:name="_Toc425509577"/>
    </w:p>
    <w:p>
      <w:pPr>
        <w:ind w:firstLine="480"/>
      </w:pPr>
      <w:r>
        <w:rPr>
          <w:rFonts w:hint="eastAsia"/>
        </w:rPr>
        <w:t>4</w:t>
      </w:r>
      <w:bookmarkEnd w:id="35"/>
      <w:bookmarkEnd w:id="36"/>
      <w:bookmarkEnd w:id="37"/>
      <w:bookmarkEnd w:id="38"/>
      <w:bookmarkStart w:id="39" w:name="_Toc77742985"/>
      <w:bookmarkStart w:id="40" w:name="_Toc149481885"/>
      <w:bookmarkStart w:id="41" w:name="_Toc77742813"/>
      <w:bookmarkStart w:id="42" w:name="_Toc425509578"/>
      <w:r>
        <w:rPr>
          <w:rFonts w:hint="eastAsia"/>
        </w:rPr>
        <w:t>.评审小组根据评选办法及标准推荐中选候选人。</w:t>
      </w:r>
    </w:p>
    <w:bookmarkEnd w:id="39"/>
    <w:bookmarkEnd w:id="40"/>
    <w:bookmarkEnd w:id="41"/>
    <w:bookmarkEnd w:id="42"/>
    <w:p>
      <w:pPr>
        <w:pStyle w:val="2"/>
        <w:ind w:firstLine="562"/>
        <w:rPr>
          <w:lang w:val="zh-CN"/>
        </w:rPr>
      </w:pPr>
      <w:bookmarkStart w:id="43" w:name="_Toc425509579"/>
      <w:r>
        <w:rPr>
          <w:rFonts w:hint="eastAsia"/>
        </w:rPr>
        <w:br w:type="page"/>
      </w:r>
      <w:r>
        <w:rPr>
          <w:rFonts w:hint="eastAsia"/>
        </w:rPr>
        <w:t xml:space="preserve">第三章 </w:t>
      </w:r>
      <w:r>
        <w:rPr>
          <w:rFonts w:hint="eastAsia"/>
          <w:lang w:val="zh-CN"/>
        </w:rPr>
        <w:t>投标文件格式及要求</w:t>
      </w:r>
      <w:bookmarkEnd w:id="43"/>
      <w:bookmarkStart w:id="44" w:name="_Toc425509580"/>
    </w:p>
    <w:p>
      <w:pPr>
        <w:ind w:firstLine="480"/>
      </w:pPr>
      <w:r>
        <w:rPr>
          <w:rFonts w:hint="eastAsia"/>
        </w:rPr>
        <w:t>1.投标函</w:t>
      </w:r>
    </w:p>
    <w:p>
      <w:pPr>
        <w:ind w:firstLine="480"/>
      </w:pPr>
    </w:p>
    <w:p>
      <w:pPr>
        <w:ind w:firstLine="480"/>
      </w:pPr>
      <w:r>
        <w:rPr>
          <w:rFonts w:hint="eastAsia"/>
        </w:rPr>
        <w:t>致：四川省地质矿产勘查开发局</w:t>
      </w:r>
    </w:p>
    <w:p>
      <w:pPr>
        <w:ind w:firstLine="480"/>
      </w:pPr>
      <w:r>
        <w:rPr>
          <w:rFonts w:hint="eastAsia"/>
          <w:u w:val="single"/>
        </w:rPr>
        <w:t>一、我单位愿意参加           项目</w:t>
      </w:r>
      <w:r>
        <w:rPr>
          <w:rFonts w:hint="eastAsia"/>
        </w:rPr>
        <w:t>的投标。在审查和全面理解了所提供的投标文件后，以下签字人在此作为投标人代表参加本次投标。</w:t>
      </w:r>
    </w:p>
    <w:p>
      <w:pPr>
        <w:ind w:firstLine="480"/>
      </w:pPr>
      <w:r>
        <w:rPr>
          <w:rFonts w:hint="eastAsia"/>
        </w:rPr>
        <w:t>二、我单位对提交的投标文件负责。贵方或授权代表可对我单位进行查询或调查，以证实提交的声明、文件和资料的真实性。</w:t>
      </w:r>
    </w:p>
    <w:p>
      <w:pPr>
        <w:ind w:firstLine="480"/>
      </w:pPr>
      <w:r>
        <w:rPr>
          <w:rFonts w:hint="eastAsia"/>
        </w:rPr>
        <w:t>三、我单位完全理解招标人因法律和政策原因取消投标以及拒绝所有的投标，并对此类任何行动不承担任何责任。</w:t>
      </w:r>
    </w:p>
    <w:p>
      <w:pPr>
        <w:ind w:firstLine="480"/>
      </w:pPr>
      <w:r>
        <w:rPr>
          <w:rFonts w:hint="eastAsia"/>
        </w:rPr>
        <w:t>四、如我单位中选，我单位承诺按投标文件要求签订合同，并将严格按照有关法律法规等相关政策开展工作。</w:t>
      </w:r>
    </w:p>
    <w:p>
      <w:pPr>
        <w:ind w:firstLine="480"/>
      </w:pPr>
      <w:r>
        <w:rPr>
          <w:rFonts w:hint="eastAsia"/>
        </w:rPr>
        <w:t>五、投标文件有效期为递交投标文件截止日期后90个日历日内有效。</w:t>
      </w:r>
    </w:p>
    <w:p>
      <w:pPr>
        <w:ind w:firstLine="480"/>
      </w:pPr>
      <w:r>
        <w:rPr>
          <w:rFonts w:hint="eastAsia"/>
        </w:rPr>
        <w:t>六、需要核实的资料，贵方或授权代表可以向下列人员查询：</w:t>
      </w:r>
    </w:p>
    <w:p>
      <w:pPr>
        <w:spacing w:line="480" w:lineRule="auto"/>
        <w:ind w:firstLine="480"/>
      </w:pPr>
      <w:r>
        <w:rPr>
          <w:rFonts w:hint="eastAsia"/>
        </w:rPr>
        <w:t xml:space="preserve">联系人1：                </w:t>
      </w:r>
      <w:r>
        <w:rPr>
          <w:rFonts w:hint="eastAsia"/>
        </w:rPr>
        <w:tab/>
      </w:r>
      <w:r>
        <w:rPr>
          <w:rFonts w:hint="eastAsia"/>
        </w:rPr>
        <w:t xml:space="preserve">电话：              </w:t>
      </w:r>
    </w:p>
    <w:p>
      <w:pPr>
        <w:spacing w:line="480" w:lineRule="auto"/>
        <w:ind w:firstLine="480"/>
      </w:pPr>
      <w:r>
        <w:rPr>
          <w:rFonts w:hint="eastAsia"/>
        </w:rPr>
        <w:t xml:space="preserve">联系人2：                </w:t>
      </w:r>
      <w:r>
        <w:rPr>
          <w:rFonts w:hint="eastAsia"/>
        </w:rPr>
        <w:tab/>
      </w:r>
      <w:r>
        <w:rPr>
          <w:rFonts w:hint="eastAsia"/>
        </w:rPr>
        <w:t xml:space="preserve">电话：              </w:t>
      </w:r>
    </w:p>
    <w:p>
      <w:pPr>
        <w:spacing w:line="480" w:lineRule="auto"/>
        <w:ind w:firstLine="480"/>
      </w:pPr>
      <w:r>
        <w:rPr>
          <w:rFonts w:hint="eastAsia"/>
        </w:rPr>
        <w:t>投标人名称：                    （并加盖公章）</w:t>
      </w:r>
    </w:p>
    <w:p>
      <w:pPr>
        <w:spacing w:line="480" w:lineRule="auto"/>
        <w:ind w:firstLine="480"/>
      </w:pPr>
      <w:r>
        <w:rPr>
          <w:rFonts w:hint="eastAsia"/>
        </w:rPr>
        <w:t>法定代表人或授权代表：                （签字）</w:t>
      </w:r>
    </w:p>
    <w:p>
      <w:pPr>
        <w:spacing w:line="480" w:lineRule="auto"/>
        <w:ind w:firstLine="480"/>
      </w:pPr>
      <w:r>
        <w:rPr>
          <w:rFonts w:hint="eastAsia"/>
        </w:rPr>
        <w:t xml:space="preserve">     年  月  日</w:t>
      </w:r>
    </w:p>
    <w:p>
      <w:pPr>
        <w:ind w:firstLine="480"/>
      </w:pPr>
    </w:p>
    <w:p>
      <w:pPr>
        <w:ind w:firstLine="482"/>
      </w:pPr>
      <w:r>
        <w:rPr>
          <w:rFonts w:hint="eastAsia"/>
          <w:b/>
        </w:rPr>
        <w:br w:type="page"/>
      </w:r>
      <w:r>
        <w:rPr>
          <w:rFonts w:hint="eastAsia"/>
        </w:rPr>
        <w:t>2.资格承诺函</w:t>
      </w:r>
    </w:p>
    <w:p>
      <w:pPr>
        <w:ind w:firstLine="480"/>
      </w:pPr>
    </w:p>
    <w:p>
      <w:pPr>
        <w:ind w:firstLine="480"/>
      </w:pPr>
      <w:r>
        <w:rPr>
          <w:rFonts w:hint="eastAsia"/>
        </w:rPr>
        <w:t>四川省地质矿产勘查开发局：</w:t>
      </w:r>
    </w:p>
    <w:p>
      <w:pPr>
        <w:ind w:firstLine="480"/>
      </w:pPr>
      <w:r>
        <w:rPr>
          <w:rFonts w:hint="eastAsia"/>
        </w:rPr>
        <w:t>我公司作为本项目的非联合体投标人，我单位声明：</w:t>
      </w:r>
    </w:p>
    <w:p>
      <w:pPr>
        <w:ind w:firstLine="480"/>
      </w:pPr>
      <w:r>
        <w:rPr>
          <w:rFonts w:hint="eastAsia"/>
        </w:rPr>
        <w:t>1.具有独立承担民事责任的能力；</w:t>
      </w:r>
    </w:p>
    <w:p>
      <w:pPr>
        <w:ind w:firstLine="480"/>
      </w:pPr>
      <w:r>
        <w:rPr>
          <w:rFonts w:hint="eastAsia"/>
        </w:rPr>
        <w:t>2.具有良好的商业信誉和健全的财务会计制度；</w:t>
      </w:r>
    </w:p>
    <w:p>
      <w:pPr>
        <w:ind w:firstLine="480"/>
      </w:pPr>
      <w:r>
        <w:rPr>
          <w:rFonts w:hint="eastAsia"/>
        </w:rPr>
        <w:t>3.具有履行合同所必须的设备和专业技术能力；</w:t>
      </w:r>
    </w:p>
    <w:p>
      <w:pPr>
        <w:ind w:firstLine="480"/>
      </w:pPr>
      <w:r>
        <w:rPr>
          <w:rFonts w:hint="eastAsia"/>
        </w:rPr>
        <w:t>4.具有依法缴纳税收和社会保障资金的良好记录；</w:t>
      </w:r>
    </w:p>
    <w:p>
      <w:pPr>
        <w:ind w:firstLine="480"/>
      </w:pPr>
      <w:r>
        <w:rPr>
          <w:rFonts w:hint="eastAsia"/>
        </w:rPr>
        <w:t>5.参加投标活动前三年内，在经营活动中没有重大违法记录，遵守相关的法律和法规；</w:t>
      </w:r>
    </w:p>
    <w:p>
      <w:pPr>
        <w:ind w:firstLine="480"/>
      </w:pPr>
      <w:r>
        <w:rPr>
          <w:rFonts w:hint="eastAsia"/>
        </w:rPr>
        <w:t>6.符合法律、行政法规规定的其他条件。</w:t>
      </w:r>
    </w:p>
    <w:p>
      <w:pPr>
        <w:ind w:firstLine="480"/>
      </w:pPr>
      <w:r>
        <w:rPr>
          <w:rFonts w:hint="eastAsia"/>
        </w:rPr>
        <w:t>7.投标人及其现任法定代表人、主要负责人无行贿犯罪记录。</w:t>
      </w:r>
    </w:p>
    <w:p>
      <w:pPr>
        <w:ind w:firstLine="480"/>
      </w:pPr>
      <w:r>
        <w:rPr>
          <w:rFonts w:hint="eastAsia"/>
        </w:rPr>
        <w:t>我单位承诺对上述事项的真实性负责；如有虚假，我单位愿意承担相应的法律责任。</w:t>
      </w:r>
    </w:p>
    <w:p>
      <w:pPr>
        <w:ind w:firstLine="480"/>
      </w:pPr>
    </w:p>
    <w:p>
      <w:pPr>
        <w:ind w:firstLine="480"/>
      </w:pPr>
    </w:p>
    <w:p>
      <w:pPr>
        <w:ind w:firstLine="480"/>
      </w:pPr>
      <w:r>
        <w:rPr>
          <w:rFonts w:hint="eastAsia"/>
        </w:rPr>
        <w:t>投标人名称：                              （加盖公章）</w:t>
      </w:r>
    </w:p>
    <w:p>
      <w:pPr>
        <w:ind w:firstLine="480"/>
      </w:pPr>
    </w:p>
    <w:p>
      <w:pPr>
        <w:ind w:firstLine="480"/>
      </w:pPr>
      <w:r>
        <w:rPr>
          <w:rFonts w:hint="eastAsia"/>
        </w:rPr>
        <w:t>日期：    年   月   日</w:t>
      </w:r>
    </w:p>
    <w:p>
      <w:pPr>
        <w:ind w:firstLine="480"/>
        <w:rPr>
          <w:lang w:val="zh-CN"/>
        </w:rPr>
      </w:pPr>
    </w:p>
    <w:bookmarkEnd w:id="44"/>
    <w:p>
      <w:pPr>
        <w:ind w:firstLine="480"/>
      </w:pPr>
      <w:bookmarkStart w:id="45" w:name="_Toc425509582"/>
      <w:r>
        <w:rPr>
          <w:rFonts w:hint="eastAsia"/>
        </w:rPr>
        <w:br w:type="page"/>
      </w:r>
      <w:r>
        <w:rPr>
          <w:rFonts w:hint="eastAsia"/>
        </w:rPr>
        <w:t>3.报价表</w:t>
      </w:r>
      <w:bookmarkEnd w:id="45"/>
      <w:bookmarkStart w:id="46" w:name="_Toc425509585"/>
    </w:p>
    <w:p>
      <w:pPr>
        <w:ind w:firstLine="480"/>
      </w:pP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21" w:type="pct"/>
            <w:vAlign w:val="center"/>
          </w:tcPr>
          <w:p>
            <w:pPr>
              <w:ind w:firstLine="480"/>
            </w:pPr>
            <w:bookmarkStart w:id="47" w:name="_Toc16981"/>
            <w:bookmarkStart w:id="48" w:name="_Toc28458"/>
            <w:bookmarkStart w:id="49" w:name="_Toc22262"/>
            <w:bookmarkStart w:id="50" w:name="_Toc7990"/>
            <w:r>
              <w:rPr>
                <w:rFonts w:hint="eastAsia"/>
              </w:rPr>
              <w:t>项目名称</w:t>
            </w:r>
            <w:bookmarkEnd w:id="47"/>
            <w:bookmarkEnd w:id="48"/>
            <w:bookmarkEnd w:id="49"/>
            <w:bookmarkEnd w:id="50"/>
          </w:p>
        </w:tc>
        <w:tc>
          <w:tcPr>
            <w:tcW w:w="4078" w:type="pct"/>
            <w:vAlign w:val="center"/>
          </w:tcPr>
          <w:p>
            <w:pPr>
              <w:ind w:firstLine="480"/>
              <w:rPr>
                <w:rStyle w:val="19"/>
                <w:rFonts w:ascii="宋体" w:hAnsi="宋体" w:cs="宋体"/>
                <w:sz w:val="24"/>
              </w:rPr>
            </w:pPr>
            <w:r>
              <w:rPr>
                <w:rFonts w:hint="eastAsia"/>
              </w:rPr>
              <w:t>四川省地质矿产勘查开发局2023年度财务决算审计项目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21" w:type="pct"/>
            <w:vAlign w:val="center"/>
          </w:tcPr>
          <w:p>
            <w:pPr>
              <w:ind w:firstLine="480"/>
            </w:pPr>
            <w:bookmarkStart w:id="51" w:name="_Toc23863"/>
            <w:bookmarkStart w:id="52" w:name="_Toc3575"/>
            <w:bookmarkStart w:id="53" w:name="_Toc6805"/>
            <w:bookmarkStart w:id="54" w:name="_Toc32708"/>
            <w:r>
              <w:rPr>
                <w:rFonts w:hint="eastAsia"/>
              </w:rPr>
              <w:t>招标人</w:t>
            </w:r>
          </w:p>
        </w:tc>
        <w:tc>
          <w:tcPr>
            <w:tcW w:w="4078" w:type="pct"/>
            <w:vAlign w:val="center"/>
          </w:tcPr>
          <w:p>
            <w:pPr>
              <w:ind w:firstLine="480"/>
              <w:rPr>
                <w:rStyle w:val="19"/>
                <w:rFonts w:ascii="宋体" w:hAnsi="宋体" w:cs="宋体"/>
                <w:sz w:val="24"/>
              </w:rPr>
            </w:pPr>
            <w:r>
              <w:rPr>
                <w:rFonts w:hint="eastAsia"/>
              </w:rPr>
              <w:t>四川省地质矿产勘查开发局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921" w:type="pct"/>
            <w:vAlign w:val="center"/>
          </w:tcPr>
          <w:p>
            <w:pPr>
              <w:ind w:firstLine="480"/>
            </w:pPr>
            <w:r>
              <w:rPr>
                <w:rFonts w:hint="eastAsia"/>
              </w:rPr>
              <w:t>审计报价</w:t>
            </w:r>
            <w:bookmarkEnd w:id="51"/>
            <w:bookmarkEnd w:id="52"/>
            <w:bookmarkEnd w:id="53"/>
            <w:bookmarkEnd w:id="54"/>
            <w:r>
              <w:rPr>
                <w:rFonts w:hint="eastAsia"/>
              </w:rPr>
              <w:t>（单位元，取整）</w:t>
            </w:r>
          </w:p>
        </w:tc>
        <w:tc>
          <w:tcPr>
            <w:tcW w:w="4078" w:type="pct"/>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21" w:type="pct"/>
            <w:vAlign w:val="center"/>
          </w:tcPr>
          <w:p>
            <w:pPr>
              <w:ind w:firstLine="480"/>
            </w:pPr>
            <w:r>
              <w:rPr>
                <w:rFonts w:hint="eastAsia"/>
              </w:rPr>
              <w:t>服务期</w:t>
            </w:r>
          </w:p>
        </w:tc>
        <w:tc>
          <w:tcPr>
            <w:tcW w:w="4078" w:type="pct"/>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21" w:type="pct"/>
            <w:vAlign w:val="center"/>
          </w:tcPr>
          <w:p>
            <w:pPr>
              <w:ind w:firstLine="480"/>
            </w:pPr>
            <w:bookmarkStart w:id="55" w:name="_Toc31205"/>
            <w:bookmarkStart w:id="56" w:name="_Toc29415"/>
            <w:bookmarkStart w:id="57" w:name="_Toc26051"/>
            <w:bookmarkStart w:id="58" w:name="_Toc4438"/>
            <w:r>
              <w:rPr>
                <w:rFonts w:hint="eastAsia"/>
              </w:rPr>
              <w:t>备注</w:t>
            </w:r>
            <w:bookmarkEnd w:id="55"/>
            <w:bookmarkEnd w:id="56"/>
            <w:bookmarkEnd w:id="57"/>
            <w:bookmarkEnd w:id="58"/>
          </w:p>
        </w:tc>
        <w:tc>
          <w:tcPr>
            <w:tcW w:w="4078" w:type="pct"/>
            <w:vAlign w:val="center"/>
          </w:tcPr>
          <w:p>
            <w:pPr>
              <w:ind w:firstLine="480"/>
            </w:pPr>
          </w:p>
        </w:tc>
      </w:tr>
    </w:tbl>
    <w:p>
      <w:pPr>
        <w:ind w:firstLine="480"/>
        <w:rPr>
          <w:snapToGrid w:val="0"/>
        </w:rPr>
      </w:pPr>
      <w:r>
        <w:rPr>
          <w:rFonts w:hint="eastAsia"/>
          <w:snapToGrid w:val="0"/>
        </w:rPr>
        <w:t>注：</w:t>
      </w:r>
    </w:p>
    <w:p>
      <w:pPr>
        <w:ind w:firstLine="480"/>
        <w:rPr>
          <w:snapToGrid w:val="0"/>
        </w:rPr>
      </w:pPr>
      <w:r>
        <w:rPr>
          <w:rFonts w:hint="eastAsia"/>
          <w:snapToGrid w:val="0"/>
        </w:rPr>
        <w:t>1.投标报价应为包括投标文件相应规定的全部内容的报价；</w:t>
      </w:r>
    </w:p>
    <w:p>
      <w:pPr>
        <w:ind w:firstLine="480"/>
      </w:pPr>
      <w:r>
        <w:rPr>
          <w:rFonts w:hint="eastAsia"/>
          <w:snapToGrid w:val="0"/>
        </w:rPr>
        <w:t>2.投标报价应为含税价；</w:t>
      </w:r>
    </w:p>
    <w:p>
      <w:pPr>
        <w:ind w:firstLine="480"/>
      </w:pPr>
    </w:p>
    <w:p>
      <w:pPr>
        <w:ind w:firstLine="480"/>
      </w:pPr>
    </w:p>
    <w:p>
      <w:pPr>
        <w:ind w:firstLine="480"/>
      </w:pPr>
    </w:p>
    <w:p>
      <w:pPr>
        <w:ind w:firstLine="480"/>
      </w:pPr>
      <w:r>
        <w:rPr>
          <w:rFonts w:hint="eastAsia"/>
        </w:rPr>
        <w:t>法定代表人或代理人签字：</w:t>
      </w:r>
      <w:r>
        <w:rPr>
          <w:rFonts w:hint="eastAsia"/>
          <w:u w:val="single"/>
        </w:rPr>
        <w:t xml:space="preserve">             </w:t>
      </w:r>
      <w:r>
        <w:rPr>
          <w:rFonts w:hint="eastAsia"/>
        </w:rPr>
        <w:t>（签字）</w:t>
      </w:r>
    </w:p>
    <w:p>
      <w:pPr>
        <w:ind w:firstLine="480"/>
      </w:pPr>
      <w:r>
        <w:rPr>
          <w:rFonts w:hint="eastAsia"/>
        </w:rPr>
        <w:t>投标人名称：                 （并加盖公章）</w:t>
      </w:r>
    </w:p>
    <w:p>
      <w:pPr>
        <w:ind w:firstLine="480"/>
      </w:pPr>
      <w:r>
        <w:rPr>
          <w:rFonts w:hint="eastAsia"/>
        </w:rPr>
        <w:t>日期：</w:t>
      </w:r>
    </w:p>
    <w:bookmarkEnd w:id="46"/>
    <w:p>
      <w:pPr>
        <w:ind w:firstLine="480"/>
      </w:pPr>
      <w:bookmarkStart w:id="59" w:name="_Toc425509586"/>
      <w:r>
        <w:rPr>
          <w:rFonts w:hint="eastAsia"/>
        </w:rPr>
        <w:br w:type="page"/>
      </w:r>
      <w:r>
        <w:rPr>
          <w:rFonts w:hint="eastAsia"/>
        </w:rPr>
        <w:t>4. 法定代表人授权委托书</w:t>
      </w:r>
      <w:bookmarkEnd w:id="59"/>
    </w:p>
    <w:p>
      <w:pPr>
        <w:ind w:firstLine="480"/>
      </w:pPr>
    </w:p>
    <w:p>
      <w:pPr>
        <w:ind w:firstLine="480"/>
      </w:pPr>
      <w:r>
        <w:rPr>
          <w:rFonts w:hint="eastAsia"/>
        </w:rPr>
        <w:t>本授权委托书声明：我</w:t>
      </w:r>
      <w:r>
        <w:rPr>
          <w:rFonts w:hint="eastAsia"/>
          <w:u w:val="single"/>
        </w:rPr>
        <w:t xml:space="preserve">  (姓名)  </w:t>
      </w:r>
      <w:r>
        <w:rPr>
          <w:rFonts w:hint="eastAsia"/>
        </w:rPr>
        <w:t>系</w:t>
      </w:r>
      <w:r>
        <w:rPr>
          <w:rFonts w:hint="eastAsia"/>
          <w:u w:val="single"/>
        </w:rPr>
        <w:t xml:space="preserve">   (投标人)  </w:t>
      </w:r>
      <w:r>
        <w:rPr>
          <w:rFonts w:hint="eastAsia"/>
        </w:rPr>
        <w:t>的法定代表人，现授权</w:t>
      </w:r>
      <w:r>
        <w:rPr>
          <w:rFonts w:hint="eastAsia"/>
          <w:u w:val="single"/>
        </w:rPr>
        <w:t xml:space="preserve">   (姓名)   </w:t>
      </w:r>
      <w:r>
        <w:rPr>
          <w:rFonts w:hint="eastAsia"/>
        </w:rPr>
        <w:t>为我的委托代理人，以本单位的名义参加你单位组织的</w:t>
      </w:r>
      <w:r>
        <w:rPr>
          <w:rFonts w:hint="eastAsia"/>
          <w:u w:val="single"/>
        </w:rPr>
        <w:t xml:space="preserve">      投标项目</w:t>
      </w:r>
      <w:r>
        <w:rPr>
          <w:rFonts w:hint="eastAsia"/>
        </w:rPr>
        <w:t>的投标活动。委托代理人在投标活动和合同投标过程中所签署的一切文件和处理与之有关的一切事务，我本人及单位均予以承认并承担其所产生的所有权利和义务。</w:t>
      </w:r>
    </w:p>
    <w:p>
      <w:pPr>
        <w:ind w:firstLine="48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w:t>
      </w:r>
    </w:p>
    <w:p>
      <w:pPr>
        <w:ind w:firstLine="480"/>
      </w:pPr>
      <w:r>
        <w:rPr>
          <w:rFonts w:hint="eastAsia"/>
        </w:rPr>
        <w:t>委托代理人无转委托权。</w:t>
      </w:r>
    </w:p>
    <w:p>
      <w:pPr>
        <w:ind w:firstLine="480"/>
      </w:pPr>
      <w:r>
        <w:rPr>
          <w:rFonts w:hint="eastAsia"/>
        </w:rPr>
        <w:t>特此委托。</w:t>
      </w:r>
    </w:p>
    <w:p>
      <w:pPr>
        <w:ind w:firstLine="480"/>
      </w:pPr>
      <w:r>
        <w:rPr>
          <w:rFonts w:hint="eastAsia"/>
        </w:rPr>
        <w:t>注：身份证所在页盖章视为有效</w:t>
      </w:r>
    </w:p>
    <w:p>
      <w:pPr>
        <w:spacing w:line="480" w:lineRule="auto"/>
        <w:ind w:firstLine="480"/>
      </w:pPr>
      <w:r>
        <w:rPr>
          <w:rFonts w:hint="eastAsia"/>
        </w:rPr>
        <w:t>法定代表人：</w:t>
      </w:r>
      <w:r>
        <w:rPr>
          <w:rFonts w:hint="eastAsia"/>
          <w:u w:val="single"/>
        </w:rPr>
        <w:t xml:space="preserve">               </w:t>
      </w:r>
      <w:r>
        <w:rPr>
          <w:rFonts w:hint="eastAsia"/>
        </w:rPr>
        <w:t xml:space="preserve"> (签字或盖法定代表人印章）</w:t>
      </w:r>
    </w:p>
    <w:p>
      <w:pPr>
        <w:spacing w:line="480" w:lineRule="auto"/>
        <w:ind w:firstLine="480"/>
      </w:pPr>
      <w:r>
        <w:rPr>
          <w:rFonts w:hint="eastAsia"/>
        </w:rPr>
        <w:t>代理人：                    （签字）</w:t>
      </w:r>
    </w:p>
    <w:p>
      <w:pPr>
        <w:spacing w:line="480" w:lineRule="auto"/>
        <w:ind w:firstLine="480"/>
      </w:pPr>
      <w:r>
        <w:rPr>
          <w:rFonts w:hint="eastAsia"/>
        </w:rPr>
        <w:t>投标人名称：                  （并加盖公章）</w:t>
      </w:r>
    </w:p>
    <w:p>
      <w:pPr>
        <w:ind w:firstLine="480"/>
      </w:pPr>
      <w:r>
        <w:rPr>
          <w:rFonts w:hint="eastAsia"/>
        </w:rPr>
        <w:t>说明：投标文件如均由投标人法定代表人签字的，则投标文件中可不提供法定代表人授权书。</w:t>
      </w:r>
      <w:bookmarkStart w:id="60" w:name="_Toc425509587"/>
    </w:p>
    <w:p>
      <w:pPr>
        <w:ind w:firstLine="480"/>
      </w:pPr>
      <w:r>
        <w:rPr>
          <w:rFonts w:hint="eastAsia"/>
        </w:rPr>
        <w:br w:type="page"/>
      </w:r>
      <w:r>
        <w:rPr>
          <w:rFonts w:hint="eastAsia"/>
        </w:rPr>
        <w:t>5.项目实施方案</w:t>
      </w:r>
    </w:p>
    <w:p>
      <w:pPr>
        <w:ind w:firstLine="480"/>
      </w:pPr>
      <w:r>
        <w:rPr>
          <w:rFonts w:hint="eastAsia"/>
        </w:rPr>
        <w:t>格式不限。</w:t>
      </w:r>
    </w:p>
    <w:bookmarkEnd w:id="60"/>
    <w:p>
      <w:pPr>
        <w:pStyle w:val="2"/>
        <w:ind w:firstLine="562"/>
      </w:pPr>
      <w:bookmarkStart w:id="61" w:name="_Toc425509588"/>
      <w:r>
        <w:rPr>
          <w:rFonts w:hint="eastAsia"/>
        </w:rPr>
        <w:br w:type="page"/>
      </w:r>
      <w:bookmarkEnd w:id="61"/>
      <w:bookmarkStart w:id="62" w:name="_Toc177538305"/>
      <w:bookmarkEnd w:id="62"/>
      <w:bookmarkStart w:id="63" w:name="_Toc396896733"/>
      <w:bookmarkEnd w:id="63"/>
      <w:bookmarkStart w:id="64" w:name="_Toc405989368"/>
      <w:bookmarkEnd w:id="64"/>
      <w:bookmarkStart w:id="65" w:name="_Toc405989168"/>
      <w:bookmarkEnd w:id="65"/>
      <w:bookmarkStart w:id="66" w:name="_Toc181085155"/>
      <w:bookmarkEnd w:id="66"/>
      <w:bookmarkStart w:id="67" w:name="_Toc425509590"/>
      <w:bookmarkEnd w:id="67"/>
      <w:bookmarkStart w:id="68" w:name="_Toc182727392"/>
      <w:bookmarkEnd w:id="68"/>
      <w:bookmarkStart w:id="69" w:name="_Toc182727533"/>
      <w:bookmarkEnd w:id="69"/>
      <w:bookmarkStart w:id="70" w:name="_Toc425238400"/>
      <w:bookmarkEnd w:id="70"/>
      <w:bookmarkStart w:id="71" w:name="_Toc177538754"/>
      <w:bookmarkEnd w:id="71"/>
      <w:bookmarkStart w:id="72" w:name="_Toc425509591"/>
      <w:r>
        <w:rPr>
          <w:rFonts w:hint="eastAsia"/>
        </w:rPr>
        <w:t>第四章 技术及其他要求</w:t>
      </w:r>
      <w:bookmarkEnd w:id="72"/>
      <w:bookmarkStart w:id="73" w:name="_Toc425509596"/>
    </w:p>
    <w:p>
      <w:pPr>
        <w:pStyle w:val="3"/>
        <w:ind w:firstLine="482"/>
      </w:pPr>
      <w:bookmarkStart w:id="74" w:name="_Toc405989356"/>
      <w:bookmarkStart w:id="75" w:name="_Toc425238388"/>
      <w:bookmarkStart w:id="76" w:name="_Toc405989156"/>
      <w:bookmarkStart w:id="77" w:name="_Toc425932168"/>
      <w:bookmarkStart w:id="78" w:name="_Toc25824"/>
      <w:bookmarkStart w:id="79" w:name="_Toc8022"/>
      <w:bookmarkStart w:id="80" w:name="_Toc427150283"/>
      <w:bookmarkStart w:id="81" w:name="_Toc415823429"/>
      <w:bookmarkStart w:id="82" w:name="_Toc23452"/>
      <w:bookmarkStart w:id="83" w:name="_Toc414266274"/>
      <w:bookmarkStart w:id="84" w:name="_Toc5488"/>
      <w:bookmarkStart w:id="85" w:name="_Toc414266428"/>
      <w:bookmarkStart w:id="86" w:name="_Toc414614594"/>
      <w:r>
        <w:rPr>
          <w:rFonts w:hint="eastAsia"/>
        </w:rPr>
        <w:t>一、审计对象概况</w:t>
      </w:r>
      <w:bookmarkEnd w:id="74"/>
      <w:bookmarkEnd w:id="75"/>
      <w:bookmarkEnd w:id="76"/>
    </w:p>
    <w:p>
      <w:pPr>
        <w:ind w:firstLine="480"/>
      </w:pPr>
      <w:r>
        <w:rPr>
          <w:rFonts w:hint="eastAsia"/>
        </w:rPr>
        <w:t>四川省地质矿产勘查开发局2023年度财决算审计项目，涉及两个事业单位及下属全资及控股企业，其中一个事业单位及下属企业2</w:t>
      </w:r>
      <w:r>
        <w:t>023</w:t>
      </w:r>
      <w:r>
        <w:rPr>
          <w:rFonts w:hint="eastAsia"/>
        </w:rPr>
        <w:t>年末资产总额约为</w:t>
      </w:r>
      <w:r>
        <w:t>60000</w:t>
      </w:r>
      <w:r>
        <w:rPr>
          <w:rFonts w:hint="eastAsia"/>
        </w:rPr>
        <w:t>万元，2</w:t>
      </w:r>
      <w:r>
        <w:t>023</w:t>
      </w:r>
      <w:r>
        <w:rPr>
          <w:rFonts w:hint="eastAsia"/>
        </w:rPr>
        <w:t>年收入总额约为5</w:t>
      </w:r>
      <w:r>
        <w:t>5000</w:t>
      </w:r>
      <w:r>
        <w:rPr>
          <w:rFonts w:hint="eastAsia"/>
        </w:rPr>
        <w:t>万元，另一个事业单位级下属企业2</w:t>
      </w:r>
      <w:r>
        <w:t>023</w:t>
      </w:r>
      <w:r>
        <w:rPr>
          <w:rFonts w:hint="eastAsia"/>
        </w:rPr>
        <w:t>年末资产总额约为8</w:t>
      </w:r>
      <w:r>
        <w:t>4000</w:t>
      </w:r>
      <w:r>
        <w:rPr>
          <w:rFonts w:hint="eastAsia"/>
        </w:rPr>
        <w:t>万元，2</w:t>
      </w:r>
      <w:r>
        <w:t>023</w:t>
      </w:r>
      <w:r>
        <w:rPr>
          <w:rFonts w:hint="eastAsia"/>
        </w:rPr>
        <w:t>年收入总额约为2</w:t>
      </w:r>
      <w:r>
        <w:t>8000</w:t>
      </w:r>
      <w:r>
        <w:rPr>
          <w:rFonts w:hint="eastAsia"/>
        </w:rPr>
        <w:t>万元。</w:t>
      </w:r>
    </w:p>
    <w:p>
      <w:pPr>
        <w:pStyle w:val="3"/>
        <w:ind w:firstLine="482"/>
      </w:pPr>
      <w:r>
        <w:rPr>
          <w:rFonts w:hint="eastAsia"/>
          <w:color w:val="000000"/>
        </w:rPr>
        <w:t>二、</w:t>
      </w:r>
      <w:r>
        <w:rPr>
          <w:rFonts w:hint="eastAsia"/>
        </w:rPr>
        <w:t>审计内容和范围</w:t>
      </w:r>
    </w:p>
    <w:p>
      <w:pPr>
        <w:ind w:firstLine="482"/>
        <w:rPr>
          <w:b/>
          <w:bCs/>
        </w:rPr>
      </w:pPr>
      <w:r>
        <w:rPr>
          <w:rFonts w:hint="eastAsia"/>
          <w:b/>
          <w:bCs/>
        </w:rPr>
        <w:t>（一）审计内容</w:t>
      </w:r>
    </w:p>
    <w:p>
      <w:pPr>
        <w:ind w:firstLine="480"/>
      </w:pPr>
      <w:r>
        <w:rPr>
          <w:rFonts w:hint="eastAsia"/>
        </w:rPr>
        <w:t>1、抽查财务决算相关内容，重点是审计财务报表的真实性、完整性、准确性；</w:t>
      </w:r>
    </w:p>
    <w:p>
      <w:pPr>
        <w:ind w:firstLine="480"/>
      </w:pPr>
      <w:r>
        <w:rPr>
          <w:rFonts w:hint="eastAsia"/>
        </w:rPr>
        <w:t>2、抽查风险防控体系和内部控制制度的建立和执行情况，重点是经济决策程序，国有资产、运营风险的管理情况；</w:t>
      </w:r>
    </w:p>
    <w:p>
      <w:pPr>
        <w:ind w:firstLine="480"/>
      </w:pPr>
      <w:r>
        <w:rPr>
          <w:rFonts w:hint="eastAsia"/>
        </w:rPr>
        <w:t>3、核实绩效考核相关数据，确保基础数据的真实性；</w:t>
      </w:r>
    </w:p>
    <w:p>
      <w:pPr>
        <w:ind w:firstLine="480"/>
      </w:pPr>
      <w:r>
        <w:rPr>
          <w:rFonts w:hint="eastAsia"/>
        </w:rPr>
        <w:t>4、检查2023年审计发现问题的整改情况，重点是整改报告中暂未整改完成的问题；</w:t>
      </w:r>
    </w:p>
    <w:p>
      <w:pPr>
        <w:ind w:firstLine="480"/>
      </w:pPr>
      <w:r>
        <w:rPr>
          <w:rFonts w:hint="eastAsia"/>
        </w:rPr>
        <w:t>5、其他专项检查事项。</w:t>
      </w:r>
    </w:p>
    <w:p>
      <w:pPr>
        <w:ind w:firstLine="482"/>
        <w:rPr>
          <w:b/>
          <w:bCs/>
        </w:rPr>
      </w:pPr>
      <w:r>
        <w:rPr>
          <w:rFonts w:hint="eastAsia"/>
          <w:b/>
          <w:bCs/>
        </w:rPr>
        <w:t>（二）审计范围</w:t>
      </w:r>
    </w:p>
    <w:p>
      <w:pPr>
        <w:ind w:firstLine="480"/>
      </w:pPr>
      <w:r>
        <w:rPr>
          <w:rFonts w:hint="eastAsia"/>
        </w:rPr>
        <w:t>被审计单位2023年度会计账簿、电子账套、凭证、报表和单位风险控制体系、内部控制制度、相关会议纪要（记录）以及重要经济合同、以往审计发现问题的整改情况，内部审计部门履职情况等资料。涉及重大事项的，可以追溯至以往年度。</w:t>
      </w:r>
    </w:p>
    <w:p>
      <w:pPr>
        <w:pStyle w:val="3"/>
        <w:ind w:firstLine="482"/>
      </w:pPr>
      <w:r>
        <w:rPr>
          <w:rFonts w:hint="eastAsia"/>
        </w:rPr>
        <w:t>三、商务要求</w:t>
      </w:r>
    </w:p>
    <w:p>
      <w:pPr>
        <w:ind w:firstLine="480"/>
        <w:rPr>
          <w:color w:val="000000"/>
          <w:lang w:val="zh-CN"/>
        </w:rPr>
      </w:pPr>
      <w:r>
        <w:rPr>
          <w:rFonts w:hint="eastAsia"/>
          <w:color w:val="000000"/>
        </w:rPr>
        <w:t>1、</w:t>
      </w:r>
      <w:r>
        <w:rPr>
          <w:rFonts w:hint="eastAsia"/>
          <w:color w:val="000000"/>
          <w:lang w:val="zh-CN"/>
        </w:rPr>
        <w:t>服务期限：</w:t>
      </w:r>
      <w:r>
        <w:rPr>
          <w:rFonts w:hint="eastAsia"/>
        </w:rPr>
        <w:t>签合同之日起30天内完成</w:t>
      </w:r>
    </w:p>
    <w:p>
      <w:pPr>
        <w:ind w:firstLine="480"/>
      </w:pPr>
      <w:r>
        <w:rPr>
          <w:rFonts w:hint="eastAsia"/>
        </w:rPr>
        <w:t>2、付款方式：合同签订后5日内招标人支付合同金额的</w:t>
      </w:r>
      <w:r>
        <w:t>4</w:t>
      </w:r>
      <w:r>
        <w:rPr>
          <w:rFonts w:hint="eastAsia"/>
        </w:rPr>
        <w:t>0%，投标人完成审计项目并正式出具审计报告。招标人对</w:t>
      </w:r>
      <w:r>
        <w:rPr>
          <w:rFonts w:hint="default"/>
          <w:lang w:val="en-US"/>
        </w:rPr>
        <w:t>投标人</w:t>
      </w:r>
      <w:r>
        <w:rPr>
          <w:rFonts w:hint="eastAsia"/>
        </w:rPr>
        <w:t>进行考核，按照考核结果支付投标人合同剩余合同金额的</w:t>
      </w:r>
      <w:r>
        <w:t>6</w:t>
      </w:r>
      <w:r>
        <w:rPr>
          <w:rFonts w:hint="eastAsia"/>
        </w:rPr>
        <w:t>0%。</w:t>
      </w:r>
    </w:p>
    <w:p>
      <w:pPr>
        <w:ind w:firstLine="480"/>
      </w:pPr>
      <w:r>
        <w:rPr>
          <w:rFonts w:hint="eastAsia"/>
        </w:rPr>
        <w:t>3、报价包含服务费、技术费、税金等所有费用。</w:t>
      </w:r>
    </w:p>
    <w:p>
      <w:pPr>
        <w:ind w:firstLine="480"/>
      </w:pPr>
      <w:r>
        <w:rPr>
          <w:rFonts w:hint="eastAsia"/>
        </w:rPr>
        <w:t>4、验收方式及标准：本项目按照《财政部关于进一步加强政府采购需求和履约验收管理的指导意见》(财库〔2016〕205 号) 、《财政部关于印发〈政府采购需求管理办法〉的通知》(财库〔2021〕22 号) 相关规定，及招标人内控制度要求，由招标人组织验收小组，结合招标文件、投标文件及合同条款进行验收。</w:t>
      </w:r>
    </w:p>
    <w:p>
      <w:pPr>
        <w:pStyle w:val="3"/>
        <w:ind w:firstLine="482"/>
      </w:pPr>
      <w:r>
        <w:rPr>
          <w:rFonts w:hint="eastAsia"/>
        </w:rPr>
        <w:t>四、最高限价</w:t>
      </w:r>
    </w:p>
    <w:p>
      <w:pPr>
        <w:ind w:firstLine="480"/>
      </w:pPr>
      <w:r>
        <w:rPr>
          <w:rFonts w:hint="eastAsia"/>
        </w:rPr>
        <w:t>本项目最高限价为10万元（投标人报价超过该最高限价的，投标无效）。</w:t>
      </w:r>
    </w:p>
    <w:bookmarkEnd w:id="77"/>
    <w:bookmarkEnd w:id="78"/>
    <w:bookmarkEnd w:id="79"/>
    <w:bookmarkEnd w:id="80"/>
    <w:bookmarkEnd w:id="81"/>
    <w:bookmarkEnd w:id="82"/>
    <w:bookmarkEnd w:id="83"/>
    <w:bookmarkEnd w:id="84"/>
    <w:bookmarkEnd w:id="85"/>
    <w:bookmarkEnd w:id="86"/>
    <w:p>
      <w:pPr>
        <w:ind w:firstLine="480"/>
      </w:pPr>
    </w:p>
    <w:p>
      <w:pPr>
        <w:ind w:firstLine="480"/>
      </w:pPr>
      <w:r>
        <w:rPr>
          <w:rFonts w:hint="eastAsia"/>
        </w:rPr>
        <w:br w:type="page"/>
      </w:r>
    </w:p>
    <w:p>
      <w:pPr>
        <w:pStyle w:val="2"/>
        <w:ind w:firstLine="562"/>
      </w:pPr>
      <w:r>
        <w:rPr>
          <w:rFonts w:hint="eastAsia"/>
        </w:rPr>
        <w:t>第五章 评审办法及标准</w:t>
      </w:r>
      <w:bookmarkEnd w:id="73"/>
    </w:p>
    <w:p>
      <w:pPr>
        <w:pStyle w:val="3"/>
        <w:ind w:firstLine="482"/>
      </w:pPr>
      <w:r>
        <w:rPr>
          <w:rFonts w:hint="eastAsia"/>
        </w:rPr>
        <w:t>一、评审小组</w:t>
      </w:r>
    </w:p>
    <w:p>
      <w:pPr>
        <w:ind w:firstLine="480"/>
        <w:rPr>
          <w:lang w:val="zh-CN"/>
        </w:rPr>
      </w:pPr>
      <w:r>
        <w:rPr>
          <w:rFonts w:hint="eastAsia"/>
        </w:rPr>
        <w:t>招标</w:t>
      </w:r>
      <w:r>
        <w:rPr>
          <w:rFonts w:hint="eastAsia"/>
          <w:lang w:val="zh-CN"/>
        </w:rPr>
        <w:t>人组建评审小组对各投标人的投标文件进行评审。</w:t>
      </w:r>
    </w:p>
    <w:p>
      <w:pPr>
        <w:pStyle w:val="3"/>
        <w:ind w:firstLine="482"/>
      </w:pPr>
      <w:r>
        <w:rPr>
          <w:rFonts w:hint="eastAsia"/>
        </w:rPr>
        <w:t>二、评审内容和程序</w:t>
      </w:r>
    </w:p>
    <w:p>
      <w:pPr>
        <w:ind w:firstLine="480"/>
      </w:pPr>
      <w:r>
        <w:rPr>
          <w:rFonts w:hint="eastAsia"/>
        </w:rPr>
        <w:t>（一）评审内容：资格性审查。</w:t>
      </w:r>
    </w:p>
    <w:p>
      <w:pPr>
        <w:ind w:firstLine="480"/>
      </w:pPr>
      <w:r>
        <w:rPr>
          <w:rFonts w:hint="eastAsia"/>
        </w:rPr>
        <w:t>（二）评审程序：组建评审小组→资格审查→评分→完成评审报告</w:t>
      </w:r>
    </w:p>
    <w:p>
      <w:pPr>
        <w:pStyle w:val="3"/>
        <w:ind w:firstLine="482"/>
      </w:pPr>
      <w:r>
        <w:rPr>
          <w:rFonts w:hint="eastAsia"/>
        </w:rPr>
        <w:t>三、评审方法</w:t>
      </w:r>
    </w:p>
    <w:p>
      <w:pPr>
        <w:pStyle w:val="17"/>
        <w:numPr>
          <w:ilvl w:val="0"/>
          <w:numId w:val="2"/>
        </w:numPr>
      </w:pPr>
      <w:r>
        <w:rPr>
          <w:rFonts w:hint="eastAsia"/>
        </w:rPr>
        <w:t>资格性审查</w:t>
      </w:r>
    </w:p>
    <w:tbl>
      <w:tblPr>
        <w:tblStyle w:val="11"/>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1"/>
        <w:gridCol w:w="3038"/>
        <w:gridCol w:w="5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b/>
                <w:bCs/>
                <w:sz w:val="21"/>
                <w:szCs w:val="21"/>
              </w:rPr>
            </w:pPr>
            <w:r>
              <w:rPr>
                <w:rFonts w:hint="eastAsia" w:ascii="仿宋" w:hAnsi="仿宋" w:eastAsia="仿宋"/>
                <w:b/>
                <w:bCs/>
                <w:sz w:val="21"/>
                <w:szCs w:val="21"/>
              </w:rPr>
              <w:t>序号</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Chars="95"/>
              <w:jc w:val="center"/>
              <w:rPr>
                <w:rFonts w:ascii="仿宋" w:hAnsi="仿宋" w:eastAsia="仿宋"/>
                <w:b/>
                <w:bCs/>
                <w:sz w:val="21"/>
                <w:szCs w:val="21"/>
              </w:rPr>
            </w:pPr>
            <w:r>
              <w:rPr>
                <w:rFonts w:hint="eastAsia" w:ascii="仿宋" w:hAnsi="仿宋" w:eastAsia="仿宋"/>
                <w:b/>
                <w:bCs/>
                <w:sz w:val="21"/>
                <w:szCs w:val="21"/>
              </w:rPr>
              <w:t>审查内容</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2"/>
              <w:jc w:val="center"/>
              <w:rPr>
                <w:rFonts w:ascii="仿宋" w:hAnsi="仿宋" w:eastAsia="仿宋"/>
                <w:b/>
                <w:bCs/>
                <w:sz w:val="21"/>
                <w:szCs w:val="21"/>
              </w:rPr>
            </w:pPr>
            <w:r>
              <w:rPr>
                <w:rFonts w:hint="eastAsia" w:ascii="仿宋" w:hAnsi="仿宋" w:eastAsia="仿宋"/>
                <w:b/>
                <w:bCs/>
                <w:sz w:val="21"/>
                <w:szCs w:val="21"/>
              </w:rPr>
              <w:t>通过条件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1</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投标函</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符合投标文件要求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2</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具有独立承担民事责任的能力</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营业执照复印件（正本或副本）或法人证书复印件（正本或副本）或执业许可证明【营业执照或法人证书或执业许可证明材料载明有期限的，应在有效期限内】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3</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法定代表人身份证明书</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4</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法定代表人授权书（签字人为法定代表人的，可不提供）</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5</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资格承诺函</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符合投标文件要求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438" w:type="pct"/>
            <w:tcBorders>
              <w:top w:val="single" w:color="auto" w:sz="4" w:space="0"/>
              <w:left w:val="single" w:color="auto" w:sz="4" w:space="0"/>
              <w:bottom w:val="single" w:color="auto" w:sz="4" w:space="0"/>
              <w:right w:val="single" w:color="auto" w:sz="4" w:space="0"/>
            </w:tcBorders>
            <w:vAlign w:val="center"/>
          </w:tcPr>
          <w:p>
            <w:pPr>
              <w:ind w:firstLine="199" w:firstLineChars="95"/>
              <w:rPr>
                <w:rFonts w:ascii="仿宋" w:hAnsi="仿宋" w:eastAsia="仿宋"/>
                <w:sz w:val="21"/>
                <w:szCs w:val="21"/>
              </w:rPr>
            </w:pPr>
            <w:r>
              <w:rPr>
                <w:rFonts w:hint="eastAsia" w:ascii="仿宋" w:hAnsi="仿宋" w:eastAsia="仿宋"/>
                <w:sz w:val="21"/>
                <w:szCs w:val="21"/>
              </w:rPr>
              <w:t>6</w:t>
            </w:r>
          </w:p>
        </w:tc>
        <w:tc>
          <w:tcPr>
            <w:tcW w:w="168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sz w:val="21"/>
                <w:szCs w:val="21"/>
              </w:rPr>
            </w:pPr>
            <w:r>
              <w:rPr>
                <w:rFonts w:hint="eastAsia" w:ascii="仿宋" w:hAnsi="仿宋" w:eastAsia="仿宋"/>
                <w:sz w:val="21"/>
                <w:szCs w:val="21"/>
              </w:rPr>
              <w:t>资格要求</w:t>
            </w:r>
          </w:p>
        </w:tc>
        <w:tc>
          <w:tcPr>
            <w:tcW w:w="2877" w:type="pct"/>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sz w:val="21"/>
                <w:szCs w:val="21"/>
              </w:rPr>
            </w:pPr>
            <w:r>
              <w:rPr>
                <w:rFonts w:hint="eastAsia" w:ascii="仿宋" w:hAnsi="仿宋" w:eastAsia="仿宋"/>
                <w:sz w:val="21"/>
                <w:szCs w:val="21"/>
              </w:rPr>
              <w:t>投标人应具备有效的《会计师事务所执业证书》</w:t>
            </w:r>
          </w:p>
        </w:tc>
      </w:tr>
    </w:tbl>
    <w:p>
      <w:pPr>
        <w:ind w:firstLine="480"/>
      </w:pPr>
      <w:r>
        <w:rPr>
          <w:rFonts w:hint="eastAsia"/>
        </w:rPr>
        <w:t>上述6项全部满足通过条件其结论为通过，其中任何一项不满足通过条件其结论为不通过。</w:t>
      </w:r>
    </w:p>
    <w:p>
      <w:pPr>
        <w:pStyle w:val="17"/>
        <w:numPr>
          <w:ilvl w:val="0"/>
          <w:numId w:val="2"/>
        </w:numPr>
      </w:pPr>
      <w:r>
        <w:rPr>
          <w:rFonts w:hint="eastAsia"/>
        </w:rPr>
        <w:br w:type="page"/>
      </w:r>
      <w:r>
        <w:rPr>
          <w:rFonts w:hint="eastAsia"/>
        </w:rPr>
        <w:t>评分</w:t>
      </w:r>
    </w:p>
    <w:p>
      <w:pPr>
        <w:ind w:firstLine="480"/>
      </w:pPr>
      <w:r>
        <w:rPr>
          <w:rFonts w:hint="eastAsia"/>
        </w:rPr>
        <w:t>1.评审小组只对通过资格审查的投标文件进行评分。</w:t>
      </w:r>
    </w:p>
    <w:p>
      <w:pPr>
        <w:ind w:firstLine="480"/>
      </w:pPr>
      <w:r>
        <w:rPr>
          <w:rFonts w:hint="eastAsia"/>
        </w:rPr>
        <w:t>2.综合评分标准如下：</w:t>
      </w:r>
    </w:p>
    <w:tbl>
      <w:tblPr>
        <w:tblStyle w:val="21"/>
        <w:tblW w:w="501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5"/>
        <w:gridCol w:w="1136"/>
        <w:gridCol w:w="823"/>
        <w:gridCol w:w="4976"/>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393" w:type="pct"/>
            <w:vAlign w:val="center"/>
          </w:tcPr>
          <w:p>
            <w:pPr>
              <w:pStyle w:val="20"/>
              <w:autoSpaceDE w:val="0"/>
              <w:autoSpaceDN w:val="0"/>
              <w:ind w:firstLine="0" w:firstLineChars="0"/>
              <w:jc w:val="center"/>
              <w:rPr>
                <w:rFonts w:ascii="仿宋" w:hAnsi="仿宋" w:eastAsia="仿宋"/>
                <w:b/>
                <w:bCs/>
                <w:sz w:val="21"/>
                <w:szCs w:val="21"/>
                <w:lang w:eastAsia="en-US"/>
              </w:rPr>
            </w:pPr>
            <w:r>
              <w:rPr>
                <w:rFonts w:hint="eastAsia" w:ascii="仿宋" w:hAnsi="仿宋" w:eastAsia="仿宋"/>
                <w:b/>
                <w:bCs/>
                <w:sz w:val="21"/>
                <w:szCs w:val="21"/>
                <w:lang w:eastAsia="en-US"/>
              </w:rPr>
              <w:t>序号</w:t>
            </w:r>
          </w:p>
        </w:tc>
        <w:tc>
          <w:tcPr>
            <w:tcW w:w="642" w:type="pct"/>
            <w:vAlign w:val="center"/>
          </w:tcPr>
          <w:p>
            <w:pPr>
              <w:pStyle w:val="20"/>
              <w:autoSpaceDE w:val="0"/>
              <w:autoSpaceDN w:val="0"/>
              <w:ind w:firstLine="0" w:firstLineChars="0"/>
              <w:jc w:val="center"/>
              <w:rPr>
                <w:rFonts w:ascii="仿宋" w:hAnsi="仿宋" w:eastAsia="仿宋"/>
                <w:b/>
                <w:bCs/>
                <w:sz w:val="21"/>
                <w:szCs w:val="21"/>
                <w:lang w:eastAsia="en-US"/>
              </w:rPr>
            </w:pPr>
            <w:r>
              <w:rPr>
                <w:rFonts w:hint="eastAsia" w:ascii="仿宋" w:hAnsi="仿宋" w:eastAsia="仿宋"/>
                <w:b/>
                <w:bCs/>
                <w:sz w:val="21"/>
                <w:szCs w:val="21"/>
                <w:lang w:eastAsia="en-US"/>
              </w:rPr>
              <w:t>评分因素</w:t>
            </w:r>
          </w:p>
          <w:p>
            <w:pPr>
              <w:pStyle w:val="20"/>
              <w:autoSpaceDE w:val="0"/>
              <w:autoSpaceDN w:val="0"/>
              <w:ind w:firstLine="0" w:firstLineChars="0"/>
              <w:jc w:val="center"/>
              <w:rPr>
                <w:rFonts w:ascii="仿宋" w:hAnsi="仿宋" w:eastAsia="仿宋"/>
                <w:b/>
                <w:bCs/>
                <w:sz w:val="21"/>
                <w:szCs w:val="21"/>
                <w:lang w:eastAsia="en-US"/>
              </w:rPr>
            </w:pPr>
            <w:r>
              <w:rPr>
                <w:rFonts w:hint="eastAsia" w:ascii="仿宋" w:hAnsi="仿宋" w:eastAsia="仿宋"/>
                <w:b/>
                <w:bCs/>
                <w:sz w:val="21"/>
                <w:szCs w:val="21"/>
                <w:lang w:eastAsia="en-US"/>
              </w:rPr>
              <w:t>及权重</w:t>
            </w:r>
          </w:p>
        </w:tc>
        <w:tc>
          <w:tcPr>
            <w:tcW w:w="465" w:type="pct"/>
            <w:vAlign w:val="center"/>
          </w:tcPr>
          <w:p>
            <w:pPr>
              <w:pStyle w:val="20"/>
              <w:autoSpaceDE w:val="0"/>
              <w:autoSpaceDN w:val="0"/>
              <w:ind w:firstLine="0" w:firstLineChars="0"/>
              <w:jc w:val="center"/>
              <w:rPr>
                <w:rFonts w:ascii="仿宋" w:hAnsi="仿宋" w:eastAsia="仿宋"/>
                <w:b/>
                <w:bCs/>
                <w:sz w:val="21"/>
                <w:szCs w:val="21"/>
                <w:lang w:eastAsia="en-US"/>
              </w:rPr>
            </w:pPr>
            <w:r>
              <w:rPr>
                <w:rFonts w:hint="eastAsia" w:ascii="仿宋" w:hAnsi="仿宋" w:eastAsia="仿宋"/>
                <w:b/>
                <w:bCs/>
                <w:sz w:val="21"/>
                <w:szCs w:val="21"/>
                <w:lang w:eastAsia="en-US"/>
              </w:rPr>
              <w:t>分值</w:t>
            </w:r>
          </w:p>
        </w:tc>
        <w:tc>
          <w:tcPr>
            <w:tcW w:w="2812" w:type="pct"/>
            <w:vAlign w:val="center"/>
          </w:tcPr>
          <w:p>
            <w:pPr>
              <w:pStyle w:val="20"/>
              <w:autoSpaceDE w:val="0"/>
              <w:autoSpaceDN w:val="0"/>
              <w:ind w:firstLine="422"/>
              <w:jc w:val="center"/>
              <w:rPr>
                <w:rFonts w:ascii="仿宋" w:hAnsi="仿宋" w:eastAsia="仿宋"/>
                <w:b/>
                <w:bCs/>
                <w:sz w:val="21"/>
                <w:szCs w:val="21"/>
                <w:lang w:eastAsia="en-US"/>
              </w:rPr>
            </w:pPr>
            <w:r>
              <w:rPr>
                <w:rFonts w:hint="eastAsia" w:ascii="仿宋" w:hAnsi="仿宋" w:eastAsia="仿宋"/>
                <w:b/>
                <w:bCs/>
                <w:sz w:val="21"/>
                <w:szCs w:val="21"/>
                <w:lang w:eastAsia="en-US"/>
              </w:rPr>
              <w:t>评分标准</w:t>
            </w:r>
          </w:p>
        </w:tc>
        <w:tc>
          <w:tcPr>
            <w:tcW w:w="686" w:type="pct"/>
            <w:vAlign w:val="center"/>
          </w:tcPr>
          <w:p>
            <w:pPr>
              <w:pStyle w:val="20"/>
              <w:autoSpaceDE w:val="0"/>
              <w:autoSpaceDN w:val="0"/>
              <w:ind w:firstLine="422"/>
              <w:jc w:val="center"/>
              <w:rPr>
                <w:rFonts w:ascii="仿宋" w:hAnsi="仿宋" w:eastAsia="仿宋"/>
                <w:b/>
                <w:bCs/>
                <w:sz w:val="21"/>
                <w:szCs w:val="21"/>
                <w:lang w:eastAsia="en-US"/>
              </w:rPr>
            </w:pPr>
            <w:r>
              <w:rPr>
                <w:rFonts w:hint="eastAsia" w:ascii="仿宋" w:hAnsi="仿宋" w:eastAsia="仿宋"/>
                <w:b/>
                <w:bCs/>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8" w:hRule="atLeast"/>
        </w:trPr>
        <w:tc>
          <w:tcPr>
            <w:tcW w:w="393" w:type="pct"/>
            <w:vAlign w:val="center"/>
          </w:tcPr>
          <w:p>
            <w:pPr>
              <w:pStyle w:val="20"/>
              <w:autoSpaceDE w:val="0"/>
              <w:autoSpaceDN w:val="0"/>
              <w:ind w:firstLine="199" w:firstLineChars="95"/>
              <w:jc w:val="center"/>
              <w:rPr>
                <w:rFonts w:ascii="仿宋" w:hAnsi="仿宋" w:eastAsia="仿宋"/>
                <w:sz w:val="21"/>
                <w:szCs w:val="21"/>
                <w:lang w:eastAsia="en-US"/>
              </w:rPr>
            </w:pPr>
            <w:r>
              <w:rPr>
                <w:rFonts w:hint="eastAsia" w:ascii="仿宋" w:hAnsi="仿宋" w:eastAsia="仿宋"/>
                <w:sz w:val="21"/>
                <w:szCs w:val="21"/>
                <w:lang w:eastAsia="en-US"/>
              </w:rPr>
              <w:t>1</w:t>
            </w:r>
          </w:p>
        </w:tc>
        <w:tc>
          <w:tcPr>
            <w:tcW w:w="642" w:type="pct"/>
            <w:vAlign w:val="center"/>
          </w:tcPr>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报价</w:t>
            </w:r>
          </w:p>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w:t>
            </w:r>
            <w:r>
              <w:rPr>
                <w:rFonts w:hint="eastAsia" w:ascii="仿宋" w:hAnsi="仿宋" w:eastAsia="仿宋"/>
                <w:sz w:val="21"/>
                <w:szCs w:val="21"/>
                <w:lang w:val="en-US" w:eastAsia="en-US"/>
              </w:rPr>
              <w:t>10</w:t>
            </w:r>
            <w:r>
              <w:rPr>
                <w:rFonts w:hint="eastAsia" w:ascii="仿宋" w:hAnsi="仿宋" w:eastAsia="仿宋"/>
                <w:sz w:val="21"/>
                <w:szCs w:val="21"/>
                <w:lang w:eastAsia="en-US"/>
              </w:rPr>
              <w:t>%）</w:t>
            </w:r>
          </w:p>
        </w:tc>
        <w:tc>
          <w:tcPr>
            <w:tcW w:w="465" w:type="pct"/>
            <w:vAlign w:val="center"/>
          </w:tcPr>
          <w:p>
            <w:pPr>
              <w:pStyle w:val="20"/>
              <w:autoSpaceDE w:val="0"/>
              <w:autoSpaceDN w:val="0"/>
              <w:ind w:firstLine="210" w:firstLineChars="100"/>
              <w:rPr>
                <w:rFonts w:ascii="仿宋" w:hAnsi="仿宋" w:eastAsia="仿宋"/>
                <w:sz w:val="21"/>
                <w:szCs w:val="21"/>
                <w:lang w:eastAsia="en-US"/>
              </w:rPr>
            </w:pPr>
            <w:r>
              <w:rPr>
                <w:rFonts w:hint="eastAsia" w:ascii="仿宋" w:hAnsi="仿宋" w:eastAsia="仿宋"/>
                <w:sz w:val="21"/>
                <w:szCs w:val="21"/>
                <w:lang w:eastAsia="en-US"/>
              </w:rPr>
              <w:t>10分</w:t>
            </w:r>
          </w:p>
        </w:tc>
        <w:tc>
          <w:tcPr>
            <w:tcW w:w="2812" w:type="pct"/>
            <w:vAlign w:val="center"/>
          </w:tcPr>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1.采用有效报价（经初步评审合格且不低于成本的投标报价；报价有修正的，以修正后的价格为准）的算术平均值为评标基准价，计算公式为：</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S（评标基准价）=（a1 +……+an）/n，a为有效的投标报价。</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2.投标报价的偏差率计算公式：</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偏差率=100% ×︱（投标人报价 -评标基准价）︱/评标基准价</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注：偏差率百分数小数点后保留两位。</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3.有效投标报价等于评标基准价的得满分，其他有效投标报价得分为（1-偏差率）×10分。</w:t>
            </w:r>
          </w:p>
        </w:tc>
        <w:tc>
          <w:tcPr>
            <w:tcW w:w="686" w:type="pct"/>
            <w:vAlign w:val="center"/>
          </w:tcPr>
          <w:p>
            <w:pPr>
              <w:pStyle w:val="20"/>
              <w:autoSpaceDE w:val="0"/>
              <w:autoSpaceDN w:val="0"/>
              <w:ind w:firstLine="0" w:firstLineChars="0"/>
              <w:rPr>
                <w:rFonts w:ascii="仿宋" w:hAnsi="仿宋" w:eastAsia="仿宋"/>
                <w:sz w:val="21"/>
                <w:szCs w:val="21"/>
                <w:lang w:eastAsia="en-US"/>
              </w:rPr>
            </w:pPr>
            <w:r>
              <w:rPr>
                <w:rFonts w:hint="eastAsia" w:ascii="仿宋" w:hAnsi="仿宋" w:eastAsia="仿宋"/>
                <w:sz w:val="21"/>
                <w:szCs w:val="21"/>
                <w:lang w:eastAsia="en-US"/>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393" w:type="pct"/>
            <w:vAlign w:val="center"/>
          </w:tcPr>
          <w:p>
            <w:pPr>
              <w:pStyle w:val="20"/>
              <w:autoSpaceDE w:val="0"/>
              <w:autoSpaceDN w:val="0"/>
              <w:ind w:firstLine="199" w:firstLineChars="95"/>
              <w:jc w:val="center"/>
              <w:rPr>
                <w:rFonts w:ascii="仿宋" w:hAnsi="仿宋" w:eastAsia="仿宋"/>
                <w:sz w:val="21"/>
                <w:szCs w:val="21"/>
                <w:lang w:eastAsia="en-US"/>
              </w:rPr>
            </w:pPr>
            <w:r>
              <w:rPr>
                <w:rFonts w:hint="eastAsia" w:ascii="仿宋" w:hAnsi="仿宋" w:eastAsia="仿宋"/>
                <w:sz w:val="21"/>
                <w:szCs w:val="21"/>
                <w:lang w:eastAsia="en-US"/>
              </w:rPr>
              <w:t>2</w:t>
            </w:r>
          </w:p>
        </w:tc>
        <w:tc>
          <w:tcPr>
            <w:tcW w:w="642" w:type="pct"/>
            <w:vAlign w:val="center"/>
          </w:tcPr>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业绩</w:t>
            </w:r>
          </w:p>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w:t>
            </w:r>
            <w:r>
              <w:rPr>
                <w:rFonts w:hint="eastAsia" w:ascii="仿宋" w:hAnsi="仿宋" w:eastAsia="仿宋"/>
                <w:sz w:val="21"/>
                <w:szCs w:val="21"/>
                <w:lang w:val="en-US" w:eastAsia="en-US"/>
              </w:rPr>
              <w:t>20</w:t>
            </w:r>
            <w:r>
              <w:rPr>
                <w:rFonts w:hint="eastAsia" w:ascii="仿宋" w:hAnsi="仿宋" w:eastAsia="仿宋"/>
                <w:sz w:val="21"/>
                <w:szCs w:val="21"/>
                <w:lang w:eastAsia="en-US"/>
              </w:rPr>
              <w:t>%）</w:t>
            </w:r>
          </w:p>
        </w:tc>
        <w:tc>
          <w:tcPr>
            <w:tcW w:w="465" w:type="pct"/>
            <w:vAlign w:val="center"/>
          </w:tcPr>
          <w:p>
            <w:pPr>
              <w:pStyle w:val="20"/>
              <w:autoSpaceDE w:val="0"/>
              <w:autoSpaceDN w:val="0"/>
              <w:ind w:firstLine="210" w:firstLineChars="100"/>
              <w:rPr>
                <w:rFonts w:ascii="仿宋" w:hAnsi="仿宋" w:eastAsia="仿宋"/>
                <w:sz w:val="21"/>
                <w:szCs w:val="21"/>
                <w:lang w:eastAsia="en-US"/>
              </w:rPr>
            </w:pPr>
            <w:r>
              <w:rPr>
                <w:rFonts w:hint="eastAsia" w:ascii="仿宋" w:hAnsi="仿宋" w:eastAsia="仿宋"/>
                <w:sz w:val="21"/>
                <w:szCs w:val="21"/>
                <w:lang w:eastAsia="en-US"/>
              </w:rPr>
              <w:t>20分</w:t>
            </w:r>
          </w:p>
        </w:tc>
        <w:tc>
          <w:tcPr>
            <w:tcW w:w="2812" w:type="pct"/>
            <w:vAlign w:val="center"/>
          </w:tcPr>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1.每承接过地质类委托人的审计业绩得2分，最多得14分。</w:t>
            </w:r>
          </w:p>
          <w:p>
            <w:pPr>
              <w:pStyle w:val="20"/>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2.每承接过1个国有企业决算审计业绩的得</w:t>
            </w:r>
            <w:r>
              <w:rPr>
                <w:rFonts w:ascii="仿宋" w:hAnsi="仿宋" w:eastAsia="仿宋"/>
                <w:sz w:val="21"/>
                <w:szCs w:val="21"/>
                <w:lang w:eastAsia="en-US"/>
              </w:rPr>
              <w:t>2</w:t>
            </w:r>
            <w:r>
              <w:rPr>
                <w:rFonts w:hint="eastAsia" w:ascii="仿宋" w:hAnsi="仿宋" w:eastAsia="仿宋"/>
                <w:sz w:val="21"/>
                <w:szCs w:val="21"/>
                <w:lang w:eastAsia="en-US"/>
              </w:rPr>
              <w:t>分，最多6分。</w:t>
            </w:r>
          </w:p>
          <w:p>
            <w:pPr>
              <w:pStyle w:val="20"/>
              <w:autoSpaceDE w:val="0"/>
              <w:autoSpaceDN w:val="0"/>
              <w:ind w:firstLine="420"/>
              <w:rPr>
                <w:rFonts w:ascii="仿宋" w:hAnsi="仿宋" w:eastAsia="仿宋"/>
                <w:spacing w:val="-1"/>
                <w:sz w:val="21"/>
                <w:szCs w:val="21"/>
                <w:lang w:eastAsia="en-US"/>
              </w:rPr>
            </w:pPr>
            <w:r>
              <w:rPr>
                <w:rFonts w:hint="eastAsia" w:ascii="仿宋" w:hAnsi="仿宋" w:eastAsia="仿宋"/>
                <w:sz w:val="21"/>
                <w:szCs w:val="21"/>
                <w:lang w:eastAsia="en-US"/>
              </w:rPr>
              <w:t>注：提供合同复印件，时间以合同签订时间为准。</w:t>
            </w:r>
          </w:p>
        </w:tc>
        <w:tc>
          <w:tcPr>
            <w:tcW w:w="686" w:type="pct"/>
            <w:vAlign w:val="center"/>
          </w:tcPr>
          <w:p>
            <w:pPr>
              <w:pStyle w:val="20"/>
              <w:autoSpaceDE w:val="0"/>
              <w:autoSpaceDN w:val="0"/>
              <w:ind w:firstLine="0" w:firstLineChars="0"/>
              <w:rPr>
                <w:rFonts w:ascii="仿宋" w:hAnsi="仿宋" w:eastAsia="仿宋"/>
                <w:sz w:val="21"/>
                <w:szCs w:val="21"/>
                <w:lang w:eastAsia="en-US"/>
              </w:rPr>
            </w:pPr>
            <w:r>
              <w:rPr>
                <w:rFonts w:hint="eastAsia" w:ascii="仿宋" w:hAnsi="仿宋" w:eastAsia="仿宋"/>
                <w:sz w:val="21"/>
                <w:szCs w:val="21"/>
                <w:lang w:eastAsia="en-US"/>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393" w:type="pct"/>
            <w:vAlign w:val="center"/>
          </w:tcPr>
          <w:p>
            <w:pPr>
              <w:pStyle w:val="20"/>
              <w:autoSpaceDE w:val="0"/>
              <w:autoSpaceDN w:val="0"/>
              <w:ind w:firstLine="199" w:firstLineChars="95"/>
              <w:jc w:val="center"/>
              <w:rPr>
                <w:rFonts w:ascii="仿宋" w:hAnsi="仿宋" w:eastAsia="仿宋"/>
                <w:sz w:val="21"/>
                <w:szCs w:val="21"/>
                <w:lang w:eastAsia="en-US"/>
              </w:rPr>
            </w:pPr>
            <w:r>
              <w:rPr>
                <w:rFonts w:hint="eastAsia" w:ascii="仿宋" w:hAnsi="仿宋" w:eastAsia="仿宋"/>
                <w:sz w:val="21"/>
                <w:szCs w:val="21"/>
                <w:lang w:eastAsia="en-US"/>
              </w:rPr>
              <w:t>3</w:t>
            </w:r>
          </w:p>
        </w:tc>
        <w:tc>
          <w:tcPr>
            <w:tcW w:w="642" w:type="pct"/>
            <w:vAlign w:val="center"/>
          </w:tcPr>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人员配备（</w:t>
            </w:r>
            <w:r>
              <w:rPr>
                <w:rFonts w:hint="eastAsia" w:ascii="仿宋" w:hAnsi="仿宋" w:eastAsia="仿宋"/>
                <w:sz w:val="21"/>
                <w:szCs w:val="21"/>
                <w:lang w:val="en-US" w:eastAsia="en-US"/>
              </w:rPr>
              <w:t>16</w:t>
            </w:r>
            <w:r>
              <w:rPr>
                <w:rFonts w:hint="eastAsia" w:ascii="仿宋" w:hAnsi="仿宋" w:eastAsia="仿宋"/>
                <w:sz w:val="21"/>
                <w:szCs w:val="21"/>
                <w:lang w:eastAsia="en-US"/>
              </w:rPr>
              <w:t>%）</w:t>
            </w:r>
          </w:p>
        </w:tc>
        <w:tc>
          <w:tcPr>
            <w:tcW w:w="465" w:type="pct"/>
            <w:vAlign w:val="center"/>
          </w:tcPr>
          <w:p>
            <w:pPr>
              <w:pStyle w:val="20"/>
              <w:autoSpaceDE w:val="0"/>
              <w:autoSpaceDN w:val="0"/>
              <w:ind w:firstLine="210" w:firstLineChars="100"/>
              <w:rPr>
                <w:rFonts w:ascii="仿宋" w:hAnsi="仿宋" w:eastAsia="仿宋"/>
                <w:sz w:val="21"/>
                <w:szCs w:val="21"/>
                <w:lang w:eastAsia="en-US"/>
              </w:rPr>
            </w:pPr>
            <w:r>
              <w:rPr>
                <w:rFonts w:hint="eastAsia" w:ascii="仿宋" w:hAnsi="仿宋" w:eastAsia="仿宋"/>
                <w:sz w:val="21"/>
                <w:szCs w:val="21"/>
                <w:lang w:eastAsia="en-US"/>
              </w:rPr>
              <w:t>16分</w:t>
            </w:r>
          </w:p>
        </w:tc>
        <w:tc>
          <w:tcPr>
            <w:tcW w:w="2812" w:type="pct"/>
            <w:vAlign w:val="center"/>
          </w:tcPr>
          <w:p>
            <w:pPr>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1.投标人拟派本项目负责人具有注册会计师且同时具有中级会计师及以上职称得</w:t>
            </w:r>
            <w:r>
              <w:rPr>
                <w:rFonts w:ascii="仿宋" w:hAnsi="仿宋" w:eastAsia="仿宋"/>
                <w:sz w:val="21"/>
                <w:szCs w:val="21"/>
                <w:lang w:eastAsia="en-US"/>
              </w:rPr>
              <w:t>4</w:t>
            </w:r>
            <w:r>
              <w:rPr>
                <w:rFonts w:hint="eastAsia" w:ascii="仿宋" w:hAnsi="仿宋" w:eastAsia="仿宋"/>
                <w:sz w:val="21"/>
                <w:szCs w:val="21"/>
                <w:lang w:eastAsia="en-US"/>
              </w:rPr>
              <w:t>分，最多得</w:t>
            </w:r>
            <w:r>
              <w:rPr>
                <w:rFonts w:ascii="仿宋" w:hAnsi="仿宋" w:eastAsia="仿宋"/>
                <w:sz w:val="21"/>
                <w:szCs w:val="21"/>
                <w:lang w:eastAsia="en-US"/>
              </w:rPr>
              <w:t>4</w:t>
            </w:r>
            <w:r>
              <w:rPr>
                <w:rFonts w:hint="eastAsia" w:ascii="仿宋" w:hAnsi="仿宋" w:eastAsia="仿宋"/>
                <w:sz w:val="21"/>
                <w:szCs w:val="21"/>
                <w:lang w:eastAsia="en-US"/>
              </w:rPr>
              <w:t>分。</w:t>
            </w:r>
          </w:p>
          <w:p>
            <w:pPr>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2.投标人拟派本项目技术负责人具有注册会计师资格且同时具有中级会计师及以上职称，同时负责过地矿局相关审计咨询业务（提供财务审计报告及会计师签署页）得4分，最多得</w:t>
            </w:r>
            <w:r>
              <w:rPr>
                <w:rFonts w:ascii="仿宋" w:hAnsi="仿宋" w:eastAsia="仿宋"/>
                <w:sz w:val="21"/>
                <w:szCs w:val="21"/>
                <w:lang w:eastAsia="en-US"/>
              </w:rPr>
              <w:t>4</w:t>
            </w:r>
            <w:r>
              <w:rPr>
                <w:rFonts w:hint="eastAsia" w:ascii="仿宋" w:hAnsi="仿宋" w:eastAsia="仿宋"/>
                <w:sz w:val="21"/>
                <w:szCs w:val="21"/>
                <w:lang w:eastAsia="en-US"/>
              </w:rPr>
              <w:t>分。</w:t>
            </w:r>
          </w:p>
          <w:p>
            <w:pPr>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3、投标人为本项目拟派的其他人员（除项目负责人和技术负责人外），每增加一名具有全国注册会计师资格且同时具有中级会计师及以上职称证书的得2分，最多得8分。</w:t>
            </w:r>
          </w:p>
          <w:p>
            <w:pPr>
              <w:pStyle w:val="20"/>
              <w:autoSpaceDE w:val="0"/>
              <w:autoSpaceDN w:val="0"/>
              <w:ind w:firstLine="420"/>
              <w:rPr>
                <w:rFonts w:ascii="仿宋" w:hAnsi="仿宋" w:eastAsia="仿宋"/>
                <w:spacing w:val="-20"/>
                <w:sz w:val="21"/>
                <w:szCs w:val="21"/>
                <w:lang w:val="en-US" w:eastAsia="en-US"/>
              </w:rPr>
            </w:pPr>
            <w:r>
              <w:rPr>
                <w:rFonts w:hint="eastAsia" w:ascii="仿宋" w:hAnsi="仿宋" w:eastAsia="仿宋"/>
                <w:sz w:val="21"/>
                <w:szCs w:val="21"/>
                <w:lang w:eastAsia="en-US"/>
              </w:rPr>
              <w:t>（说明：1.提供有效的证书复印件，2</w:t>
            </w:r>
            <w:r>
              <w:rPr>
                <w:rFonts w:hint="eastAsia" w:ascii="仿宋" w:hAnsi="仿宋" w:eastAsia="仿宋"/>
                <w:sz w:val="21"/>
                <w:szCs w:val="21"/>
                <w:lang w:val="en-US" w:eastAsia="en-US"/>
              </w:rPr>
              <w:t>.</w:t>
            </w:r>
            <w:r>
              <w:rPr>
                <w:rFonts w:hint="eastAsia" w:ascii="仿宋" w:hAnsi="仿宋" w:eastAsia="仿宋"/>
                <w:sz w:val="21"/>
                <w:szCs w:val="21"/>
                <w:lang w:eastAsia="en-US"/>
              </w:rPr>
              <w:t>相同人员不重复计分，3.提供拟配人员</w:t>
            </w:r>
            <w:r>
              <w:rPr>
                <w:rFonts w:hint="eastAsia" w:ascii="仿宋" w:hAnsi="仿宋" w:eastAsia="仿宋"/>
                <w:sz w:val="21"/>
                <w:szCs w:val="21"/>
                <w:lang w:val="en-US" w:eastAsia="en-US"/>
              </w:rPr>
              <w:t>社保</w:t>
            </w:r>
            <w:r>
              <w:rPr>
                <w:rFonts w:hint="default" w:ascii="仿宋" w:hAnsi="仿宋" w:eastAsia="仿宋"/>
                <w:sz w:val="21"/>
                <w:szCs w:val="21"/>
                <w:lang w:val="en-US" w:eastAsia="en-US"/>
              </w:rPr>
              <w:t>缴纳</w:t>
            </w:r>
            <w:r>
              <w:rPr>
                <w:rFonts w:hint="eastAsia" w:ascii="仿宋" w:hAnsi="仿宋" w:eastAsia="仿宋"/>
                <w:sz w:val="21"/>
                <w:szCs w:val="21"/>
                <w:lang w:val="en-US" w:eastAsia="en-US"/>
              </w:rPr>
              <w:t>证明）</w:t>
            </w:r>
          </w:p>
        </w:tc>
        <w:tc>
          <w:tcPr>
            <w:tcW w:w="686" w:type="pct"/>
            <w:vAlign w:val="center"/>
          </w:tcPr>
          <w:p>
            <w:pPr>
              <w:pStyle w:val="20"/>
              <w:autoSpaceDE w:val="0"/>
              <w:autoSpaceDN w:val="0"/>
              <w:ind w:firstLine="420"/>
              <w:rPr>
                <w:rFonts w:ascii="仿宋" w:hAnsi="仿宋" w:eastAsia="仿宋"/>
                <w:sz w:val="21"/>
                <w:szCs w:val="21"/>
                <w:lang w:eastAsia="en-US"/>
              </w:rPr>
            </w:pPr>
          </w:p>
          <w:p>
            <w:pPr>
              <w:pStyle w:val="20"/>
              <w:autoSpaceDE w:val="0"/>
              <w:autoSpaceDN w:val="0"/>
              <w:ind w:firstLine="0" w:firstLineChars="0"/>
              <w:rPr>
                <w:rFonts w:ascii="仿宋" w:hAnsi="仿宋" w:eastAsia="仿宋"/>
                <w:sz w:val="21"/>
                <w:szCs w:val="21"/>
                <w:lang w:eastAsia="en-US"/>
              </w:rPr>
            </w:pPr>
            <w:r>
              <w:rPr>
                <w:rFonts w:hint="eastAsia" w:ascii="仿宋" w:hAnsi="仿宋" w:eastAsia="仿宋"/>
                <w:sz w:val="21"/>
                <w:szCs w:val="21"/>
                <w:lang w:eastAsia="en-US"/>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393" w:type="pct"/>
            <w:vAlign w:val="center"/>
          </w:tcPr>
          <w:p>
            <w:pPr>
              <w:pStyle w:val="20"/>
              <w:autoSpaceDE w:val="0"/>
              <w:autoSpaceDN w:val="0"/>
              <w:ind w:firstLine="199" w:firstLineChars="95"/>
              <w:jc w:val="center"/>
              <w:rPr>
                <w:rFonts w:ascii="仿宋" w:hAnsi="仿宋" w:eastAsia="仿宋"/>
                <w:sz w:val="21"/>
                <w:szCs w:val="21"/>
                <w:lang w:eastAsia="en-US"/>
              </w:rPr>
            </w:pPr>
            <w:r>
              <w:rPr>
                <w:rFonts w:hint="eastAsia" w:ascii="仿宋" w:hAnsi="仿宋" w:eastAsia="仿宋"/>
                <w:sz w:val="21"/>
                <w:szCs w:val="21"/>
                <w:lang w:eastAsia="en-US"/>
              </w:rPr>
              <w:t>4</w:t>
            </w:r>
          </w:p>
        </w:tc>
        <w:tc>
          <w:tcPr>
            <w:tcW w:w="642" w:type="pct"/>
            <w:vAlign w:val="center"/>
          </w:tcPr>
          <w:p>
            <w:pPr>
              <w:pStyle w:val="20"/>
              <w:autoSpaceDE w:val="0"/>
              <w:autoSpaceDN w:val="0"/>
              <w:ind w:firstLine="420"/>
              <w:jc w:val="center"/>
              <w:rPr>
                <w:rFonts w:ascii="仿宋" w:hAnsi="仿宋" w:eastAsia="仿宋"/>
                <w:sz w:val="21"/>
                <w:szCs w:val="21"/>
                <w:lang w:eastAsia="en-US"/>
              </w:rPr>
            </w:pPr>
          </w:p>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项目服务方案（</w:t>
            </w:r>
            <w:r>
              <w:rPr>
                <w:rFonts w:hint="eastAsia" w:ascii="仿宋" w:hAnsi="仿宋" w:eastAsia="仿宋"/>
                <w:sz w:val="21"/>
                <w:szCs w:val="21"/>
                <w:lang w:val="en-US" w:eastAsia="en-US"/>
              </w:rPr>
              <w:t>54</w:t>
            </w:r>
            <w:r>
              <w:rPr>
                <w:rFonts w:hint="eastAsia" w:ascii="仿宋" w:hAnsi="仿宋" w:eastAsia="仿宋"/>
                <w:sz w:val="21"/>
                <w:szCs w:val="21"/>
                <w:lang w:eastAsia="en-US"/>
              </w:rPr>
              <w:t>%）</w:t>
            </w:r>
          </w:p>
        </w:tc>
        <w:tc>
          <w:tcPr>
            <w:tcW w:w="465" w:type="pct"/>
            <w:vAlign w:val="center"/>
          </w:tcPr>
          <w:p>
            <w:pPr>
              <w:pStyle w:val="20"/>
              <w:autoSpaceDE w:val="0"/>
              <w:autoSpaceDN w:val="0"/>
              <w:ind w:firstLine="0" w:firstLineChars="0"/>
              <w:jc w:val="center"/>
              <w:rPr>
                <w:rFonts w:ascii="仿宋" w:hAnsi="仿宋" w:eastAsia="仿宋"/>
                <w:sz w:val="21"/>
                <w:szCs w:val="21"/>
                <w:lang w:eastAsia="en-US"/>
              </w:rPr>
            </w:pPr>
            <w:r>
              <w:rPr>
                <w:rFonts w:hint="eastAsia" w:ascii="仿宋" w:hAnsi="仿宋" w:eastAsia="仿宋"/>
                <w:sz w:val="21"/>
                <w:szCs w:val="21"/>
                <w:lang w:eastAsia="en-US"/>
              </w:rPr>
              <w:t>54分</w:t>
            </w:r>
          </w:p>
        </w:tc>
        <w:tc>
          <w:tcPr>
            <w:tcW w:w="2812" w:type="pct"/>
            <w:vAlign w:val="center"/>
          </w:tcPr>
          <w:p>
            <w:pPr>
              <w:pStyle w:val="6"/>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1.根据投标人提供的实施方案进行评审，方案包括（1）工作人员配备（2）专业分工（3）审计工作计划（4）审计方法（5）审计重点和难点（6）审计风险及相应对策（7）工作进度（8）问题分析及对策建议的得5分，每有一项缺失的扣3分，每有一项内容存在错误或不合理的扣2分，本项最多得40分。</w:t>
            </w:r>
          </w:p>
          <w:p>
            <w:pPr>
              <w:pStyle w:val="6"/>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2.根据投标人提供的问题反馈方案进行评审，方案包括（1）问题反馈时间（2）反馈程序的得2分；每有一项缺失的扣2分，每有一项内容存在错误或不合理的扣1分，本项最多得6分。</w:t>
            </w:r>
          </w:p>
          <w:p>
            <w:pPr>
              <w:pStyle w:val="6"/>
              <w:autoSpaceDE w:val="0"/>
              <w:autoSpaceDN w:val="0"/>
              <w:ind w:firstLine="420"/>
              <w:rPr>
                <w:rFonts w:ascii="仿宋" w:hAnsi="仿宋" w:eastAsia="仿宋"/>
                <w:sz w:val="21"/>
                <w:szCs w:val="21"/>
                <w:lang w:eastAsia="en-US"/>
              </w:rPr>
            </w:pPr>
            <w:r>
              <w:rPr>
                <w:rFonts w:hint="eastAsia" w:ascii="仿宋" w:hAnsi="仿宋" w:eastAsia="仿宋"/>
                <w:sz w:val="21"/>
                <w:szCs w:val="21"/>
                <w:lang w:eastAsia="en-US"/>
              </w:rPr>
              <w:t xml:space="preserve">3.根据投标人提供的质量与风险控制方案，方案包括（1）质量控制措施（2）质量控制目标（3）问责制度（4）保密制度的得2分；每有一项缺失的扣2分，每有一项内容存在错误或不合理的扣1分，本项最多得8分。                                                                                                                                                                                                                                                                                                                                                                                                                                                                                                                                                                                                                                                                                                                                                                                                                                                                                                                                                                                                                                                                                                                                                                                                                                                                                                                                                                                  </w:t>
            </w:r>
          </w:p>
          <w:p>
            <w:pPr>
              <w:pStyle w:val="20"/>
              <w:autoSpaceDE w:val="0"/>
              <w:autoSpaceDN w:val="0"/>
              <w:ind w:firstLine="420"/>
              <w:rPr>
                <w:rFonts w:ascii="仿宋" w:hAnsi="仿宋" w:eastAsia="仿宋"/>
                <w:spacing w:val="3"/>
                <w:sz w:val="21"/>
                <w:szCs w:val="21"/>
                <w:lang w:eastAsia="en-US"/>
              </w:rPr>
            </w:pPr>
            <w:r>
              <w:rPr>
                <w:rFonts w:hint="eastAsia" w:ascii="仿宋" w:hAnsi="仿宋" w:eastAsia="仿宋"/>
                <w:sz w:val="21"/>
                <w:szCs w:val="21"/>
                <w:lang w:eastAsia="en-US"/>
              </w:rPr>
              <w:t>注：内容存在错误是指项目名称、实施地点、涉及的规范、技术服务标准要求存在错误。</w:t>
            </w:r>
          </w:p>
        </w:tc>
        <w:tc>
          <w:tcPr>
            <w:tcW w:w="686" w:type="pct"/>
            <w:vAlign w:val="center"/>
          </w:tcPr>
          <w:p>
            <w:pPr>
              <w:pStyle w:val="20"/>
              <w:autoSpaceDE w:val="0"/>
              <w:autoSpaceDN w:val="0"/>
              <w:ind w:firstLine="420"/>
              <w:rPr>
                <w:rFonts w:ascii="仿宋" w:hAnsi="仿宋" w:eastAsia="仿宋"/>
                <w:sz w:val="21"/>
                <w:szCs w:val="21"/>
                <w:lang w:eastAsia="en-US"/>
              </w:rPr>
            </w:pPr>
          </w:p>
          <w:p>
            <w:pPr>
              <w:pStyle w:val="20"/>
              <w:autoSpaceDE w:val="0"/>
              <w:autoSpaceDN w:val="0"/>
              <w:ind w:firstLine="0" w:firstLineChars="0"/>
              <w:rPr>
                <w:rFonts w:ascii="仿宋" w:hAnsi="仿宋" w:eastAsia="仿宋"/>
                <w:sz w:val="21"/>
                <w:szCs w:val="21"/>
                <w:lang w:eastAsia="en-US"/>
              </w:rPr>
            </w:pPr>
            <w:r>
              <w:rPr>
                <w:rFonts w:hint="eastAsia" w:ascii="仿宋" w:hAnsi="仿宋" w:eastAsia="仿宋"/>
                <w:sz w:val="21"/>
                <w:szCs w:val="21"/>
                <w:lang w:eastAsia="en-US"/>
              </w:rPr>
              <w:t>技术类评分因素</w:t>
            </w:r>
          </w:p>
        </w:tc>
      </w:tr>
    </w:tbl>
    <w:p>
      <w:pPr>
        <w:ind w:firstLine="482"/>
        <w:rPr>
          <w:b/>
          <w:bCs/>
        </w:rPr>
      </w:pPr>
      <w:r>
        <w:rPr>
          <w:rFonts w:hint="eastAsia"/>
          <w:b/>
          <w:bCs/>
        </w:rPr>
        <w:t>（三）推荐中选候选人</w:t>
      </w:r>
    </w:p>
    <w:p>
      <w:pPr>
        <w:ind w:firstLine="480"/>
      </w:pPr>
      <w:r>
        <w:rPr>
          <w:rFonts w:hint="eastAsia"/>
        </w:rPr>
        <w:t>按得分</w:t>
      </w:r>
      <w:r>
        <w:rPr>
          <w:rFonts w:hint="default"/>
          <w:lang w:val="en-US"/>
        </w:rPr>
        <w:t>从高到低</w:t>
      </w:r>
      <w:r>
        <w:rPr>
          <w:rFonts w:hint="eastAsia"/>
        </w:rPr>
        <w:t>排名推荐</w:t>
      </w:r>
      <w:bookmarkStart w:id="87" w:name="_Toc221692968"/>
      <w:bookmarkStart w:id="88" w:name="_Toc425509597"/>
      <w:bookmarkStart w:id="89" w:name="_Toc366248830"/>
      <w:r>
        <w:rPr>
          <w:rFonts w:hint="eastAsia"/>
        </w:rPr>
        <w:t>中选候选人。</w:t>
      </w:r>
    </w:p>
    <w:p>
      <w:pPr>
        <w:ind w:firstLine="482"/>
        <w:rPr>
          <w:b/>
          <w:bCs/>
        </w:rPr>
      </w:pPr>
      <w:r>
        <w:rPr>
          <w:rFonts w:hint="eastAsia"/>
          <w:b/>
          <w:bCs/>
        </w:rPr>
        <w:t>（四）招标失败情况</w:t>
      </w:r>
    </w:p>
    <w:p>
      <w:pPr>
        <w:ind w:firstLine="480"/>
      </w:pPr>
      <w:r>
        <w:rPr>
          <w:rFonts w:hint="eastAsia"/>
        </w:rPr>
        <w:t>1、通过资格、符合审查的投标人不足两家的；</w:t>
      </w:r>
    </w:p>
    <w:p>
      <w:pPr>
        <w:ind w:firstLine="480"/>
      </w:pPr>
      <w:r>
        <w:rPr>
          <w:rFonts w:hint="eastAsia"/>
        </w:rPr>
        <w:t>2、投标人最后报价均超过本次项目最高限价，且招标人不能支付的；</w:t>
      </w:r>
    </w:p>
    <w:p>
      <w:pPr>
        <w:ind w:firstLine="480"/>
      </w:pPr>
      <w:r>
        <w:rPr>
          <w:rFonts w:hint="eastAsia"/>
        </w:rPr>
        <w:t>3、其他无法继续开展评审或者无法成交的情形。</w:t>
      </w:r>
      <w:bookmarkEnd w:id="87"/>
      <w:bookmarkEnd w:id="88"/>
      <w:bookmarkEnd w:id="89"/>
    </w:p>
    <w:p>
      <w:pPr>
        <w:ind w:firstLine="480"/>
      </w:pPr>
    </w:p>
    <w:sectPr>
      <w:footerReference r:id="rId12" w:type="default"/>
      <w:pgSz w:w="11906" w:h="16838"/>
      <w:pgMar w:top="1440" w:right="1519" w:bottom="1440"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285"/>
      <w:showingPlcHdr/>
    </w:sdtPr>
    <w:sdtContent>
      <w:p>
        <w:pPr>
          <w:pStyle w:val="7"/>
          <w:ind w:firstLine="360"/>
        </w:pPr>
        <w:r>
          <w:t xml:space="preserve">     </w:t>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1</w:t>
                    </w:r>
                    <w:r>
                      <w:fldChar w:fldCharType="end"/>
                    </w:r>
                  </w:p>
                </w:txbxContent>
              </v:textbox>
            </v:shape>
          </w:pict>
        </mc:Fallback>
      </mc:AlternateContent>
    </w:r>
    <w:sdt>
      <w:sdtPr>
        <w:id w:val="2025286349"/>
        <w:showingPlcHdr/>
      </w:sdtPr>
      <w:sdtContent>
        <w:r>
          <w:t xml:space="preserve">     </w:t>
        </w:r>
      </w:sdtContent>
    </w:sdt>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asciiTheme="minorEastAsia" w:hAnsiTheme="minor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japaneseCounting"/>
      <w:lvlText w:val="（%1）"/>
      <w:lvlJc w:val="left"/>
      <w:pPr>
        <w:ind w:left="1422" w:hanging="855"/>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6BCD567A"/>
    <w:multiLevelType w:val="multilevel"/>
    <w:tmpl w:val="6BCD567A"/>
    <w:lvl w:ilvl="0" w:tentative="0">
      <w:start w:val="1"/>
      <w:numFmt w:val="japaneseCounting"/>
      <w:pStyle w:val="17"/>
      <w:lvlText w:val="%1、"/>
      <w:lvlJc w:val="left"/>
      <w:pPr>
        <w:ind w:left="994" w:hanging="720"/>
      </w:pPr>
      <w:rPr>
        <w:rFonts w:hint="default" w:ascii="Times New Roman" w:hAnsi="Times New Roman"/>
        <w:b w:val="0"/>
      </w:rPr>
    </w:lvl>
    <w:lvl w:ilvl="1" w:tentative="0">
      <w:start w:val="1"/>
      <w:numFmt w:val="lowerLetter"/>
      <w:lvlText w:val="%2)"/>
      <w:lvlJc w:val="left"/>
      <w:pPr>
        <w:ind w:left="1114" w:hanging="420"/>
      </w:pPr>
    </w:lvl>
    <w:lvl w:ilvl="2" w:tentative="0">
      <w:start w:val="1"/>
      <w:numFmt w:val="lowerRoman"/>
      <w:lvlText w:val="%3."/>
      <w:lvlJc w:val="right"/>
      <w:pPr>
        <w:ind w:left="1534" w:hanging="420"/>
      </w:pPr>
    </w:lvl>
    <w:lvl w:ilvl="3" w:tentative="0">
      <w:start w:val="1"/>
      <w:numFmt w:val="decimal"/>
      <w:lvlText w:val="%4."/>
      <w:lvlJc w:val="left"/>
      <w:pPr>
        <w:ind w:left="1954" w:hanging="420"/>
      </w:pPr>
    </w:lvl>
    <w:lvl w:ilvl="4" w:tentative="0">
      <w:start w:val="1"/>
      <w:numFmt w:val="lowerLetter"/>
      <w:lvlText w:val="%5)"/>
      <w:lvlJc w:val="left"/>
      <w:pPr>
        <w:ind w:left="2374" w:hanging="420"/>
      </w:pPr>
    </w:lvl>
    <w:lvl w:ilvl="5" w:tentative="0">
      <w:start w:val="1"/>
      <w:numFmt w:val="lowerRoman"/>
      <w:lvlText w:val="%6."/>
      <w:lvlJc w:val="right"/>
      <w:pPr>
        <w:ind w:left="2794" w:hanging="420"/>
      </w:pPr>
    </w:lvl>
    <w:lvl w:ilvl="6" w:tentative="0">
      <w:start w:val="1"/>
      <w:numFmt w:val="decimal"/>
      <w:lvlText w:val="%7."/>
      <w:lvlJc w:val="left"/>
      <w:pPr>
        <w:ind w:left="3214" w:hanging="420"/>
      </w:pPr>
    </w:lvl>
    <w:lvl w:ilvl="7" w:tentative="0">
      <w:start w:val="1"/>
      <w:numFmt w:val="lowerLetter"/>
      <w:lvlText w:val="%8)"/>
      <w:lvlJc w:val="left"/>
      <w:pPr>
        <w:ind w:left="3634" w:hanging="420"/>
      </w:pPr>
    </w:lvl>
    <w:lvl w:ilvl="8" w:tentative="0">
      <w:start w:val="1"/>
      <w:numFmt w:val="lowerRoman"/>
      <w:lvlText w:val="%9."/>
      <w:lvlJc w:val="right"/>
      <w:pPr>
        <w:ind w:left="405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0MGFhYjc2N2MxY2RhNTA4NzYzMWVjYThhYTQ3NDkifQ=="/>
  </w:docVars>
  <w:rsids>
    <w:rsidRoot w:val="555E0622"/>
    <w:rsid w:val="000564EE"/>
    <w:rsid w:val="000D3B48"/>
    <w:rsid w:val="000E4FAC"/>
    <w:rsid w:val="001124EF"/>
    <w:rsid w:val="00125E30"/>
    <w:rsid w:val="0016790F"/>
    <w:rsid w:val="001D3620"/>
    <w:rsid w:val="001F5518"/>
    <w:rsid w:val="002450E6"/>
    <w:rsid w:val="002C64EE"/>
    <w:rsid w:val="002E5845"/>
    <w:rsid w:val="003605CB"/>
    <w:rsid w:val="00364A92"/>
    <w:rsid w:val="0040502F"/>
    <w:rsid w:val="00422F06"/>
    <w:rsid w:val="0044779D"/>
    <w:rsid w:val="00481989"/>
    <w:rsid w:val="00485F49"/>
    <w:rsid w:val="004D3246"/>
    <w:rsid w:val="005029A5"/>
    <w:rsid w:val="005031AA"/>
    <w:rsid w:val="005635E5"/>
    <w:rsid w:val="006009D2"/>
    <w:rsid w:val="00681DCE"/>
    <w:rsid w:val="006F03DD"/>
    <w:rsid w:val="00760EEC"/>
    <w:rsid w:val="00782C18"/>
    <w:rsid w:val="0098409F"/>
    <w:rsid w:val="00985406"/>
    <w:rsid w:val="009F7959"/>
    <w:rsid w:val="009F7BDA"/>
    <w:rsid w:val="00A03C84"/>
    <w:rsid w:val="00A55CC9"/>
    <w:rsid w:val="00A72700"/>
    <w:rsid w:val="00A85298"/>
    <w:rsid w:val="00AC07A4"/>
    <w:rsid w:val="00BC5108"/>
    <w:rsid w:val="00BF7F61"/>
    <w:rsid w:val="00C60B9A"/>
    <w:rsid w:val="00C73F12"/>
    <w:rsid w:val="00C94DB6"/>
    <w:rsid w:val="00D23479"/>
    <w:rsid w:val="00D80752"/>
    <w:rsid w:val="00DE430D"/>
    <w:rsid w:val="00E12C12"/>
    <w:rsid w:val="00E212B4"/>
    <w:rsid w:val="00E34A78"/>
    <w:rsid w:val="00E47F60"/>
    <w:rsid w:val="00E65121"/>
    <w:rsid w:val="00EE7B5A"/>
    <w:rsid w:val="00F41060"/>
    <w:rsid w:val="00F71F05"/>
    <w:rsid w:val="00F862C2"/>
    <w:rsid w:val="00F874FC"/>
    <w:rsid w:val="00FA1AC4"/>
    <w:rsid w:val="0F362BEE"/>
    <w:rsid w:val="102B0279"/>
    <w:rsid w:val="102E40B0"/>
    <w:rsid w:val="11F03528"/>
    <w:rsid w:val="12CC7AF2"/>
    <w:rsid w:val="134E49AB"/>
    <w:rsid w:val="173B5246"/>
    <w:rsid w:val="19B25567"/>
    <w:rsid w:val="1EA05FC0"/>
    <w:rsid w:val="1FDE70B6"/>
    <w:rsid w:val="1FF74D53"/>
    <w:rsid w:val="22862479"/>
    <w:rsid w:val="29795D96"/>
    <w:rsid w:val="319C2BB7"/>
    <w:rsid w:val="32624194"/>
    <w:rsid w:val="32A60138"/>
    <w:rsid w:val="356419B4"/>
    <w:rsid w:val="37F914B5"/>
    <w:rsid w:val="3CAD1DCC"/>
    <w:rsid w:val="3DD86A9B"/>
    <w:rsid w:val="40251D40"/>
    <w:rsid w:val="40AA02C3"/>
    <w:rsid w:val="40EE0370"/>
    <w:rsid w:val="4136117D"/>
    <w:rsid w:val="44BB67C4"/>
    <w:rsid w:val="462F3918"/>
    <w:rsid w:val="46D0225D"/>
    <w:rsid w:val="4D094FD1"/>
    <w:rsid w:val="4DB00944"/>
    <w:rsid w:val="50B9275C"/>
    <w:rsid w:val="50C14175"/>
    <w:rsid w:val="533C68AD"/>
    <w:rsid w:val="540F3377"/>
    <w:rsid w:val="555E0622"/>
    <w:rsid w:val="565A0547"/>
    <w:rsid w:val="5677113F"/>
    <w:rsid w:val="56AB560E"/>
    <w:rsid w:val="580E36D4"/>
    <w:rsid w:val="585E79F9"/>
    <w:rsid w:val="587153FD"/>
    <w:rsid w:val="59C41AF9"/>
    <w:rsid w:val="5A3F2EE0"/>
    <w:rsid w:val="5AFC687F"/>
    <w:rsid w:val="5ECD6AD8"/>
    <w:rsid w:val="5ED03B83"/>
    <w:rsid w:val="606D5311"/>
    <w:rsid w:val="6340623C"/>
    <w:rsid w:val="64964E36"/>
    <w:rsid w:val="64C0606E"/>
    <w:rsid w:val="653A1C7A"/>
    <w:rsid w:val="65605444"/>
    <w:rsid w:val="6DA71E62"/>
    <w:rsid w:val="71071607"/>
    <w:rsid w:val="733F07F0"/>
    <w:rsid w:val="777C1567"/>
    <w:rsid w:val="790B5287"/>
    <w:rsid w:val="7F282E8F"/>
    <w:rsid w:val="86FFC0F3"/>
    <w:rsid w:val="9BFE30A3"/>
    <w:rsid w:val="BB5C622B"/>
    <w:rsid w:val="BED66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eastAsia="宋体" w:asciiTheme="minorHAnsi" w:hAnsiTheme="minorHAnsi" w:cstheme="minorBidi"/>
      <w:kern w:val="2"/>
      <w:sz w:val="24"/>
      <w:szCs w:val="22"/>
      <w:lang w:val="en-US" w:eastAsia="zh-CN" w:bidi="ar-SA"/>
    </w:rPr>
  </w:style>
  <w:style w:type="paragraph" w:styleId="2">
    <w:name w:val="heading 1"/>
    <w:basedOn w:val="1"/>
    <w:next w:val="1"/>
    <w:autoRedefine/>
    <w:qFormat/>
    <w:uiPriority w:val="9"/>
    <w:pPr>
      <w:keepNext/>
      <w:keepLines/>
      <w:spacing w:before="120" w:after="120"/>
      <w:jc w:val="center"/>
      <w:outlineLvl w:val="0"/>
    </w:pPr>
    <w:rPr>
      <w:b/>
      <w:bCs/>
      <w:kern w:val="44"/>
      <w:sz w:val="28"/>
      <w:szCs w:val="44"/>
    </w:rPr>
  </w:style>
  <w:style w:type="paragraph" w:styleId="3">
    <w:name w:val="heading 2"/>
    <w:basedOn w:val="1"/>
    <w:next w:val="1"/>
    <w:autoRedefine/>
    <w:qFormat/>
    <w:uiPriority w:val="0"/>
    <w:pPr>
      <w:keepNext/>
      <w:keepLines/>
      <w:tabs>
        <w:tab w:val="left" w:pos="720"/>
      </w:tabs>
      <w:ind w:firstLine="480"/>
      <w:outlineLvl w:val="1"/>
    </w:pPr>
    <w:rPr>
      <w:rFonts w:hAnsi="宋体" w:cs="Arial"/>
      <w:b/>
      <w:bCs/>
      <w:iCs/>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style>
  <w:style w:type="paragraph" w:styleId="5">
    <w:name w:val="annotation text"/>
    <w:basedOn w:val="1"/>
    <w:link w:val="22"/>
    <w:autoRedefine/>
    <w:qFormat/>
    <w:uiPriority w:val="0"/>
  </w:style>
  <w:style w:type="paragraph" w:styleId="6">
    <w:name w:val="Body Text"/>
    <w:basedOn w:val="1"/>
    <w:next w:val="1"/>
    <w:autoRedefine/>
    <w:qFormat/>
    <w:uiPriority w:val="0"/>
    <w:rPr>
      <w:rFonts w:ascii="Times New Roman" w:hAnsi="Times New Roman" w:eastAsia="仿宋_GB2312"/>
      <w:sz w:val="28"/>
      <w:szCs w:val="20"/>
    </w:rPr>
  </w:style>
  <w:style w:type="paragraph" w:styleId="7">
    <w:name w:val="footer"/>
    <w:basedOn w:val="1"/>
    <w:autoRedefine/>
    <w:unhideWhenUsed/>
    <w:qFormat/>
    <w:uiPriority w:val="99"/>
    <w:pPr>
      <w:tabs>
        <w:tab w:val="center" w:pos="4153"/>
        <w:tab w:val="right" w:pos="8306"/>
      </w:tabs>
      <w:snapToGrid w:val="0"/>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style>
  <w:style w:type="paragraph" w:styleId="10">
    <w:name w:val="annotation subject"/>
    <w:basedOn w:val="5"/>
    <w:next w:val="5"/>
    <w:link w:val="23"/>
    <w:autoRedefine/>
    <w:qFormat/>
    <w:uiPriority w:val="0"/>
    <w:rPr>
      <w:b/>
      <w:bCs/>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styleId="17">
    <w:name w:val="List Paragraph"/>
    <w:basedOn w:val="1"/>
    <w:qFormat/>
    <w:uiPriority w:val="34"/>
    <w:pPr>
      <w:numPr>
        <w:ilvl w:val="0"/>
        <w:numId w:val="1"/>
      </w:numPr>
      <w:ind w:firstLine="0" w:firstLineChars="0"/>
    </w:pPr>
    <w:rPr>
      <w:b/>
      <w:bCs/>
    </w:rPr>
  </w:style>
  <w:style w:type="paragraph" w:customStyle="1" w:styleId="18">
    <w:name w:val="样式 首行缩进:  2 字符"/>
    <w:basedOn w:val="1"/>
    <w:qFormat/>
    <w:uiPriority w:val="0"/>
    <w:pPr>
      <w:spacing w:line="400" w:lineRule="exact"/>
    </w:pPr>
    <w:rPr>
      <w:rFonts w:cs="宋体"/>
    </w:rPr>
  </w:style>
  <w:style w:type="character" w:customStyle="1" w:styleId="19">
    <w:name w:val="NormalCharacter"/>
    <w:semiHidden/>
    <w:qFormat/>
    <w:uiPriority w:val="0"/>
    <w:rPr>
      <w:kern w:val="2"/>
      <w:sz w:val="21"/>
      <w:szCs w:val="24"/>
      <w:lang w:val="en-US" w:eastAsia="zh-CN" w:bidi="ar-SA"/>
    </w:rPr>
  </w:style>
  <w:style w:type="paragraph" w:customStyle="1" w:styleId="20">
    <w:name w:val="Table Paragraph"/>
    <w:basedOn w:val="1"/>
    <w:qFormat/>
    <w:uiPriority w:val="1"/>
    <w:rPr>
      <w:rFonts w:ascii="宋体" w:hAnsi="宋体" w:cs="宋体"/>
      <w:lang w:val="zh-CN" w:bidi="zh-CN"/>
    </w:rPr>
  </w:style>
  <w:style w:type="table" w:customStyle="1" w:styleId="2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22">
    <w:name w:val="批注文字 字符"/>
    <w:basedOn w:val="13"/>
    <w:link w:val="5"/>
    <w:qFormat/>
    <w:uiPriority w:val="0"/>
    <w:rPr>
      <w:rFonts w:asciiTheme="minorHAnsi" w:hAnsiTheme="minorHAnsi" w:eastAsiaTheme="minorEastAsia" w:cstheme="minorBidi"/>
      <w:kern w:val="2"/>
      <w:sz w:val="21"/>
      <w:szCs w:val="22"/>
    </w:rPr>
  </w:style>
  <w:style w:type="character" w:customStyle="1" w:styleId="23">
    <w:name w:val="批注主题 字符"/>
    <w:basedOn w:val="22"/>
    <w:link w:val="10"/>
    <w:qFormat/>
    <w:uiPriority w:val="0"/>
    <w:rPr>
      <w:rFonts w:asciiTheme="minorHAnsi" w:hAnsiTheme="minorHAnsi" w:eastAsiaTheme="minorEastAsia" w:cstheme="minorBidi"/>
      <w:b/>
      <w:bCs/>
      <w:kern w:val="2"/>
      <w:sz w:val="21"/>
      <w:szCs w:val="22"/>
    </w:rPr>
  </w:style>
  <w:style w:type="paragraph" w:customStyle="1" w:styleId="24">
    <w:name w:val="目录"/>
    <w:basedOn w:val="1"/>
    <w:link w:val="25"/>
    <w:qFormat/>
    <w:uiPriority w:val="0"/>
    <w:pPr>
      <w:spacing w:before="100" w:beforeAutospacing="1" w:after="100" w:afterAutospacing="1" w:line="720" w:lineRule="auto"/>
      <w:ind w:firstLine="140" w:firstLineChars="58"/>
    </w:pPr>
    <w:rPr>
      <w:rFonts w:ascii="宋体" w:hAnsi="宋体" w:cs="宋体"/>
      <w:b/>
    </w:rPr>
  </w:style>
  <w:style w:type="character" w:customStyle="1" w:styleId="25">
    <w:name w:val="目录 字符"/>
    <w:basedOn w:val="13"/>
    <w:link w:val="24"/>
    <w:autoRedefine/>
    <w:qFormat/>
    <w:uiPriority w:val="0"/>
    <w:rPr>
      <w:rFonts w:ascii="宋体" w:hAnsi="宋体" w:cs="宋体"/>
      <w:b/>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1005</Words>
  <Characters>5732</Characters>
  <Lines>47</Lines>
  <Paragraphs>13</Paragraphs>
  <TotalTime>17</TotalTime>
  <ScaleCrop>false</ScaleCrop>
  <LinksUpToDate>false</LinksUpToDate>
  <CharactersWithSpaces>6724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2024-02-28T10:49:00Z</dcterms:created>
  <dc:creator>Asleep</dc:creator>
  <cp:lastModifiedBy>沙丁鱼罐头</cp:lastModifiedBy>
  <cp:lastPrinted>2023-11-28T19:38:00Z</cp:lastPrinted>
  <dcterms:modified xsi:type="dcterms:W3CDTF">2024-02-28T02:46:48Z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49DB82E1895A42EE8D592E2BC0ABAF7A</vt:lpwstr>
  </property>
</Properties>
</file>